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8E261">
      <w:pPr>
        <w:jc w:val="center"/>
        <w:rPr>
          <w:b/>
          <w:bCs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</w:t>
      </w:r>
      <w:r>
        <w:rPr>
          <w:rFonts w:hint="eastAsia"/>
          <w:b/>
          <w:bCs/>
          <w:sz w:val="32"/>
          <w:szCs w:val="32"/>
          <w:lang w:eastAsia="zh-CN"/>
        </w:rPr>
        <w:t>标准操作规程</w:t>
      </w:r>
      <w:bookmarkStart w:id="0" w:name="_GoBack"/>
      <w:bookmarkEnd w:id="0"/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2FC9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6606D2FE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694BC706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z w:val="28"/>
                <w:szCs w:val="28"/>
              </w:rPr>
              <w:t>研究完成审查的标准操作规</w:t>
            </w:r>
            <w:r>
              <w:rPr>
                <w:rFonts w:hint="eastAsia" w:asciiTheme="majorEastAsia" w:hAnsiTheme="majorEastAsia" w:eastAsiaTheme="majorEastAsia"/>
                <w:bCs/>
                <w:sz w:val="28"/>
                <w:szCs w:val="28"/>
              </w:rPr>
              <w:t>程</w:t>
            </w:r>
          </w:p>
        </w:tc>
      </w:tr>
      <w:tr w14:paraId="74D70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4FD099A8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74599C8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757E9131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1789F781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1BBDB49F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22E0E138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张海涛</w:t>
            </w:r>
          </w:p>
        </w:tc>
      </w:tr>
      <w:tr w14:paraId="1FB7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5E6213A3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 w:color="auto" w:fill="auto"/>
            <w:vAlign w:val="top"/>
          </w:tcPr>
          <w:p w14:paraId="03056FC1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2026.8.3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CB4EB8F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0F826B0B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2026.8.13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1A38C950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938BB9C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2026.8.24</w:t>
            </w:r>
          </w:p>
        </w:tc>
      </w:tr>
      <w:tr w14:paraId="58F5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7E64196C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37A3A433">
            <w:pPr>
              <w:jc w:val="center"/>
              <w:rPr>
                <w:rFonts w:hint="default" w:ascii="Times New Roman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 Light"/>
                <w:sz w:val="28"/>
                <w:szCs w:val="28"/>
              </w:rPr>
              <w:t>YDXY-EC-SOP-00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7</w:t>
            </w:r>
            <w:r>
              <w:rPr>
                <w:rFonts w:ascii="Calibri Light"/>
                <w:sz w:val="28"/>
                <w:szCs w:val="28"/>
              </w:rPr>
              <w:t>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7E950459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2DC9F956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</w:p>
        </w:tc>
      </w:tr>
      <w:tr w14:paraId="4A77F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1D061385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6EB23448">
            <w:pPr>
              <w:rPr>
                <w:rFonts w:ascii="Times New Roman" w:hAnsi="Times New Roman" w:eastAsia="宋体"/>
              </w:rPr>
            </w:pPr>
          </w:p>
          <w:p w14:paraId="67558CAA">
            <w:pPr>
              <w:rPr>
                <w:rFonts w:ascii="Times New Roman" w:hAnsi="Times New Roman" w:eastAsia="宋体"/>
              </w:rPr>
            </w:pPr>
          </w:p>
          <w:p w14:paraId="29FFDE8D">
            <w:pPr>
              <w:rPr>
                <w:rFonts w:ascii="Times New Roman" w:hAnsi="Times New Roman" w:eastAsia="宋体"/>
              </w:rPr>
            </w:pPr>
          </w:p>
          <w:p w14:paraId="412AD086">
            <w:pPr>
              <w:rPr>
                <w:rFonts w:ascii="Times New Roman" w:hAnsi="Times New Roman" w:eastAsia="宋体"/>
              </w:rPr>
            </w:pPr>
          </w:p>
          <w:p w14:paraId="45FD0CD8">
            <w:pPr>
              <w:rPr>
                <w:rFonts w:ascii="Times New Roman" w:hAnsi="Times New Roman" w:eastAsia="宋体"/>
              </w:rPr>
            </w:pPr>
          </w:p>
          <w:p w14:paraId="5ABE21CD">
            <w:pPr>
              <w:rPr>
                <w:rFonts w:ascii="Times New Roman" w:hAnsi="Times New Roman" w:eastAsia="宋体"/>
              </w:rPr>
            </w:pPr>
          </w:p>
          <w:p w14:paraId="73002AA3">
            <w:pPr>
              <w:rPr>
                <w:rFonts w:ascii="Times New Roman" w:hAnsi="Times New Roman" w:eastAsia="宋体"/>
              </w:rPr>
            </w:pPr>
          </w:p>
          <w:p w14:paraId="3E0C5654">
            <w:pPr>
              <w:rPr>
                <w:rFonts w:ascii="Times New Roman" w:hAnsi="Times New Roman" w:eastAsia="宋体"/>
              </w:rPr>
            </w:pPr>
          </w:p>
          <w:p w14:paraId="328C01D7">
            <w:pPr>
              <w:rPr>
                <w:rFonts w:ascii="Times New Roman" w:hAnsi="Times New Roman" w:eastAsia="宋体"/>
              </w:rPr>
            </w:pPr>
          </w:p>
          <w:p w14:paraId="6EC31050">
            <w:pPr>
              <w:rPr>
                <w:rFonts w:ascii="Times New Roman" w:hAnsi="Times New Roman" w:eastAsia="宋体"/>
              </w:rPr>
            </w:pPr>
          </w:p>
          <w:p w14:paraId="73E24863">
            <w:pPr>
              <w:rPr>
                <w:rFonts w:ascii="Times New Roman" w:hAnsi="Times New Roman" w:eastAsia="宋体"/>
              </w:rPr>
            </w:pPr>
          </w:p>
          <w:p w14:paraId="11EDB680">
            <w:pPr>
              <w:rPr>
                <w:rFonts w:ascii="Times New Roman" w:hAnsi="Times New Roman" w:eastAsia="宋体"/>
              </w:rPr>
            </w:pPr>
          </w:p>
          <w:p w14:paraId="7D0B55D7">
            <w:pPr>
              <w:rPr>
                <w:rFonts w:ascii="Times New Roman" w:hAnsi="Times New Roman" w:eastAsia="宋体"/>
              </w:rPr>
            </w:pPr>
          </w:p>
          <w:p w14:paraId="7F1D373E">
            <w:pPr>
              <w:rPr>
                <w:rFonts w:ascii="Times New Roman" w:hAnsi="Times New Roman" w:eastAsia="宋体"/>
              </w:rPr>
            </w:pPr>
          </w:p>
          <w:p w14:paraId="4F8E19F4">
            <w:pPr>
              <w:rPr>
                <w:rFonts w:ascii="Times New Roman" w:hAnsi="Times New Roman" w:eastAsia="宋体"/>
              </w:rPr>
            </w:pPr>
          </w:p>
          <w:p w14:paraId="1DF1737C">
            <w:pPr>
              <w:rPr>
                <w:rFonts w:ascii="Times New Roman" w:hAnsi="Times New Roman" w:eastAsia="宋体"/>
              </w:rPr>
            </w:pPr>
          </w:p>
          <w:p w14:paraId="421127DE">
            <w:pPr>
              <w:rPr>
                <w:rFonts w:ascii="Times New Roman" w:hAnsi="Times New Roman" w:eastAsia="宋体"/>
              </w:rPr>
            </w:pPr>
          </w:p>
          <w:p w14:paraId="17B1AC64">
            <w:pPr>
              <w:rPr>
                <w:rFonts w:ascii="Times New Roman" w:hAnsi="Times New Roman" w:eastAsia="宋体"/>
              </w:rPr>
            </w:pPr>
          </w:p>
          <w:p w14:paraId="61FCBB5D">
            <w:pPr>
              <w:rPr>
                <w:rFonts w:ascii="Times New Roman" w:hAnsi="Times New Roman" w:eastAsia="宋体"/>
              </w:rPr>
            </w:pPr>
          </w:p>
          <w:p w14:paraId="50B0CAC1">
            <w:pPr>
              <w:rPr>
                <w:rFonts w:ascii="Times New Roman" w:hAnsi="Times New Roman" w:eastAsia="宋体"/>
              </w:rPr>
            </w:pPr>
          </w:p>
          <w:p w14:paraId="2B4BC826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6222D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（一）目的</w:t>
            </w:r>
          </w:p>
          <w:p w14:paraId="1DF45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委员会研究完成审查的受理、处理、审查、传达决定、文件存档的工作有章可循，特制定本规程，以从程序上保证研究完成审查工作的质量。</w:t>
            </w:r>
          </w:p>
          <w:p w14:paraId="13D51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（二）范围</w:t>
            </w:r>
          </w:p>
          <w:p w14:paraId="57347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本中心</w:t>
            </w:r>
            <w:r>
              <w:rPr>
                <w:rFonts w:hint="eastAsia"/>
                <w:sz w:val="28"/>
                <w:szCs w:val="28"/>
              </w:rPr>
              <w:t>完成临床研究。申请人应及时向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提交“研究完成报告”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以证明研究完成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7652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、本</w:t>
            </w:r>
            <w:r>
              <w:rPr>
                <w:sz w:val="28"/>
                <w:szCs w:val="28"/>
              </w:rPr>
              <w:t>SOP</w:t>
            </w:r>
            <w:r>
              <w:rPr>
                <w:rFonts w:hint="eastAsia"/>
                <w:sz w:val="28"/>
                <w:szCs w:val="28"/>
              </w:rPr>
              <w:t>适用于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对“研究完成报告”所进行的研究完成审查。</w:t>
            </w:r>
          </w:p>
          <w:p w14:paraId="12251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（三）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规程</w:t>
            </w:r>
          </w:p>
          <w:p w14:paraId="01375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、受理：形式审查</w:t>
            </w:r>
          </w:p>
          <w:p w14:paraId="6D0F9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）送审文件的完整性。研究完成审查的送审文件包括递交信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研究完成报告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临床试验结果的摘要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或分中心小结表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轻度方案偏离列表，</w:t>
            </w:r>
            <w:r>
              <w:rPr>
                <w:rFonts w:hint="eastAsia"/>
                <w:sz w:val="28"/>
                <w:szCs w:val="28"/>
                <w:lang w:eastAsia="zh-CN"/>
              </w:rPr>
              <w:t>其他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76D72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（2）送审文件的要素</w:t>
            </w:r>
          </w:p>
          <w:p w14:paraId="65904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“研究完成报告”填写正确、完整，申请人签名并注明时间。</w:t>
            </w:r>
          </w:p>
          <w:p w14:paraId="11ADD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</w:t>
            </w:r>
          </w:p>
          <w:p w14:paraId="56685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）决定审查方式：一般采用快速审查，</w:t>
            </w:r>
            <w:r>
              <w:rPr>
                <w:rFonts w:hint="eastAsia"/>
                <w:color w:val="000000"/>
                <w:sz w:val="28"/>
                <w:szCs w:val="28"/>
              </w:rPr>
              <w:t>除非主审委员提出提交会议审查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或审查意见不一致时进行会议审查</w:t>
            </w:r>
            <w:r>
              <w:rPr>
                <w:rFonts w:hint="eastAsia"/>
                <w:color w:val="000000"/>
                <w:sz w:val="28"/>
                <w:szCs w:val="28"/>
              </w:rPr>
              <w:t>。</w:t>
            </w:r>
          </w:p>
          <w:p w14:paraId="10CC3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）审查的准备。</w:t>
            </w:r>
          </w:p>
          <w:p w14:paraId="7259B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主审的准备：①主审委员的选择：每个项目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</w:t>
            </w:r>
            <w:r>
              <w:rPr>
                <w:rFonts w:hint="eastAsia"/>
                <w:sz w:val="28"/>
                <w:szCs w:val="28"/>
              </w:rPr>
              <w:t>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名主审委员，优先选择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初审</w:t>
            </w:r>
            <w:r>
              <w:rPr>
                <w:rFonts w:hint="eastAsia"/>
                <w:sz w:val="28"/>
                <w:szCs w:val="28"/>
              </w:rPr>
              <w:t>主审委员，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若初审</w:t>
            </w:r>
            <w:r>
              <w:rPr>
                <w:rFonts w:hint="eastAsia"/>
                <w:sz w:val="28"/>
                <w:szCs w:val="28"/>
              </w:rPr>
              <w:t>主审委员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无法审查，则按照《初始审查的标准操作规程》</w:t>
            </w:r>
            <w:r>
              <w:rPr>
                <w:rFonts w:hint="eastAsia"/>
                <w:sz w:val="28"/>
                <w:szCs w:val="28"/>
              </w:rPr>
              <w:t>主审委员的选择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指定主审委员</w:t>
            </w:r>
            <w:r>
              <w:rPr>
                <w:rFonts w:hint="eastAsia"/>
                <w:sz w:val="28"/>
                <w:szCs w:val="28"/>
              </w:rPr>
              <w:t>。②准备审查文件：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为主审委员准备主审项目的整套送审文件</w:t>
            </w:r>
            <w:r>
              <w:rPr>
                <w:rFonts w:hint="eastAsia"/>
                <w:sz w:val="28"/>
                <w:szCs w:val="28"/>
                <w:lang w:eastAsia="zh-CN"/>
              </w:rPr>
              <w:t>以及</w:t>
            </w:r>
            <w:r>
              <w:rPr>
                <w:rFonts w:hint="eastAsia"/>
                <w:sz w:val="28"/>
                <w:szCs w:val="28"/>
              </w:rPr>
              <w:t>研究完成“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”。</w:t>
            </w:r>
          </w:p>
          <w:p w14:paraId="5E8BB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、审查</w:t>
            </w:r>
          </w:p>
          <w:p w14:paraId="5040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）审查程序</w:t>
            </w:r>
          </w:p>
          <w:p w14:paraId="25F60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）会议审查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677DE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）快速审查。</w:t>
            </w:r>
          </w:p>
          <w:p w14:paraId="04253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26273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是否存在尚未处理完成的不良事件，例如，研究相关损害的研究参与者尚未康复，医疗费用和补偿的纠纷尚未解决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3CF81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717A2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批准研究完成</w:t>
            </w:r>
            <w:r>
              <w:rPr>
                <w:rFonts w:hint="eastAsia"/>
                <w:sz w:val="28"/>
                <w:szCs w:val="28"/>
              </w:rPr>
              <w:t>：①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批准研究完成</w:t>
            </w:r>
            <w:r>
              <w:rPr>
                <w:rFonts w:hint="eastAsia"/>
                <w:sz w:val="28"/>
                <w:szCs w:val="28"/>
                <w:lang w:eastAsia="zh-CN"/>
              </w:rPr>
              <w:t>）；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②修改后批准；③修改后再审。</w:t>
            </w:r>
          </w:p>
          <w:p w14:paraId="17EB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）（快速审查）是否更改审查方式：提交会议审查。</w:t>
            </w:r>
          </w:p>
          <w:p w14:paraId="09D86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4587B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）传达形式：所有决定均以“伦理审查意见”的形式传达。</w:t>
            </w:r>
          </w:p>
          <w:p w14:paraId="6E1CB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个工作日内完成决定的传达。</w:t>
            </w:r>
          </w:p>
          <w:p w14:paraId="42396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、文件存档。</w:t>
            </w:r>
          </w:p>
          <w:p w14:paraId="5B21AF27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）审查过程中形成、积累、保存的文件，按审查阶段及时存档或归档、建立／更新项目档案目录。</w:t>
            </w:r>
          </w:p>
          <w:p w14:paraId="7128EA2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”，“会议签到表”，会议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投票单，会议记录，伦理审查决定文件。</w:t>
            </w:r>
          </w:p>
          <w:p w14:paraId="20187E0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</w:t>
            </w:r>
            <w:r>
              <w:rPr>
                <w:rFonts w:hint="eastAsia"/>
                <w:sz w:val="28"/>
                <w:szCs w:val="28"/>
                <w:lang w:eastAsia="zh-CN"/>
              </w:rPr>
              <w:t>“审查工作表”</w:t>
            </w:r>
            <w:r>
              <w:rPr>
                <w:rFonts w:hint="eastAsia"/>
                <w:sz w:val="28"/>
                <w:szCs w:val="28"/>
              </w:rPr>
              <w:t>，快审主审综合意见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伦理审查决定文件。</w:t>
            </w:r>
          </w:p>
          <w:p w14:paraId="4113B65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附件</w:t>
            </w:r>
          </w:p>
          <w:p w14:paraId="7F47B4FC">
            <w:pPr>
              <w:ind w:firstLine="560" w:firstLineChars="20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1、研究完成审查工作表</w:t>
            </w:r>
          </w:p>
          <w:p w14:paraId="630FAC6D">
            <w:pPr>
              <w:ind w:firstLine="560" w:firstLineChars="20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2、研究完成报告</w:t>
            </w:r>
          </w:p>
          <w:p w14:paraId="2F84FDF7">
            <w:pPr>
              <w:ind w:firstLine="560" w:firstLineChars="20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3、研究完成审查送审文件清单</w:t>
            </w:r>
          </w:p>
          <w:p w14:paraId="6876A2BE">
            <w:pPr>
              <w:ind w:firstLine="560" w:firstLineChars="20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4、轻度方案偏离列表</w:t>
            </w:r>
          </w:p>
        </w:tc>
      </w:tr>
    </w:tbl>
    <w:p w14:paraId="09EF7964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C13BE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EF3C19C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9F512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val="en-US" w:eastAsia="zh-CN"/>
      </w:rPr>
      <w:t>伦理审查委员会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A208C"/>
    <w:rsid w:val="00BB1D3B"/>
    <w:rsid w:val="00DB6B4C"/>
    <w:rsid w:val="00DD1695"/>
    <w:rsid w:val="05C24730"/>
    <w:rsid w:val="061D1AB0"/>
    <w:rsid w:val="0B6941B3"/>
    <w:rsid w:val="0D177C9A"/>
    <w:rsid w:val="0DD47DF6"/>
    <w:rsid w:val="0F9B76B1"/>
    <w:rsid w:val="0FB51A0D"/>
    <w:rsid w:val="11424DA6"/>
    <w:rsid w:val="119D0D26"/>
    <w:rsid w:val="11F43656"/>
    <w:rsid w:val="13AC6CC6"/>
    <w:rsid w:val="1481460E"/>
    <w:rsid w:val="14BD61CB"/>
    <w:rsid w:val="14BF4551"/>
    <w:rsid w:val="166A4785"/>
    <w:rsid w:val="18A40DAA"/>
    <w:rsid w:val="1A525767"/>
    <w:rsid w:val="1C5C1B3C"/>
    <w:rsid w:val="1FC559D7"/>
    <w:rsid w:val="209112E2"/>
    <w:rsid w:val="21DD4356"/>
    <w:rsid w:val="24457704"/>
    <w:rsid w:val="26933CB2"/>
    <w:rsid w:val="269A7106"/>
    <w:rsid w:val="26EA179E"/>
    <w:rsid w:val="28F9552D"/>
    <w:rsid w:val="2928599B"/>
    <w:rsid w:val="2AA16CEF"/>
    <w:rsid w:val="2B656B7F"/>
    <w:rsid w:val="2C5F0370"/>
    <w:rsid w:val="2C6C2AA6"/>
    <w:rsid w:val="2CC61D4B"/>
    <w:rsid w:val="2E4D27DA"/>
    <w:rsid w:val="3489161D"/>
    <w:rsid w:val="35535834"/>
    <w:rsid w:val="378862C6"/>
    <w:rsid w:val="39045BF5"/>
    <w:rsid w:val="39D2328D"/>
    <w:rsid w:val="3ACF48B8"/>
    <w:rsid w:val="3AE710BD"/>
    <w:rsid w:val="3C3C2A9B"/>
    <w:rsid w:val="3D694A08"/>
    <w:rsid w:val="3E983B25"/>
    <w:rsid w:val="3F9E4DD9"/>
    <w:rsid w:val="3FF42AA6"/>
    <w:rsid w:val="3FF63C05"/>
    <w:rsid w:val="40FB79C0"/>
    <w:rsid w:val="42A0489B"/>
    <w:rsid w:val="43AB5768"/>
    <w:rsid w:val="43AD2778"/>
    <w:rsid w:val="45372BC7"/>
    <w:rsid w:val="4AE368E5"/>
    <w:rsid w:val="4AFB429E"/>
    <w:rsid w:val="4BA566D3"/>
    <w:rsid w:val="4E7833C6"/>
    <w:rsid w:val="5244151C"/>
    <w:rsid w:val="53C0752F"/>
    <w:rsid w:val="5492791F"/>
    <w:rsid w:val="55734E09"/>
    <w:rsid w:val="55D17363"/>
    <w:rsid w:val="57580504"/>
    <w:rsid w:val="58B23C1A"/>
    <w:rsid w:val="5A39054F"/>
    <w:rsid w:val="5B0D2810"/>
    <w:rsid w:val="609641C9"/>
    <w:rsid w:val="61C20C2C"/>
    <w:rsid w:val="61D47F26"/>
    <w:rsid w:val="62AF3292"/>
    <w:rsid w:val="63B349B2"/>
    <w:rsid w:val="65901D54"/>
    <w:rsid w:val="65C00FAE"/>
    <w:rsid w:val="6A1F074D"/>
    <w:rsid w:val="6B4A697B"/>
    <w:rsid w:val="6BAE515B"/>
    <w:rsid w:val="6F8100A0"/>
    <w:rsid w:val="73507008"/>
    <w:rsid w:val="746A51E0"/>
    <w:rsid w:val="74852670"/>
    <w:rsid w:val="750B695D"/>
    <w:rsid w:val="76591373"/>
    <w:rsid w:val="767D600F"/>
    <w:rsid w:val="76C56797"/>
    <w:rsid w:val="76D565E4"/>
    <w:rsid w:val="7C29438A"/>
    <w:rsid w:val="7D473EF8"/>
    <w:rsid w:val="7EC8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946</Words>
  <Characters>966</Characters>
  <Lines>16</Lines>
  <Paragraphs>4</Paragraphs>
  <TotalTime>1</TotalTime>
  <ScaleCrop>false</ScaleCrop>
  <LinksUpToDate>false</LinksUpToDate>
  <CharactersWithSpaces>981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Hao</cp:lastModifiedBy>
  <cp:lastPrinted>2026-09-03T09:14:00Z</cp:lastPrinted>
  <dcterms:modified xsi:type="dcterms:W3CDTF">2026-09-03T10:21:31Z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0508C81E95CF4D0D8CAD37026D2A1496_12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