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FD701">
      <w:pPr>
        <w:jc w:val="center"/>
        <w:rPr>
          <w:b/>
          <w:bCs/>
          <w:sz w:val="32"/>
          <w:szCs w:val="32"/>
          <w:lang w:val="en-US"/>
        </w:rPr>
      </w:pPr>
      <w:r>
        <w:rPr>
          <w:rFonts w:hint="eastAsia"/>
          <w:b/>
          <w:bCs/>
          <w:sz w:val="32"/>
          <w:szCs w:val="32"/>
        </w:rPr>
        <w:t>伦理</w:t>
      </w:r>
      <w:r>
        <w:rPr>
          <w:rFonts w:hint="eastAsia"/>
          <w:b/>
          <w:bCs/>
          <w:sz w:val="32"/>
          <w:szCs w:val="32"/>
          <w:lang w:val="en-US" w:eastAsia="zh-CN"/>
        </w:rPr>
        <w:t>审查</w:t>
      </w:r>
      <w:r>
        <w:rPr>
          <w:rFonts w:hint="eastAsia"/>
          <w:b/>
          <w:bCs/>
          <w:sz w:val="32"/>
          <w:szCs w:val="32"/>
        </w:rPr>
        <w:t>委员会</w:t>
      </w:r>
      <w:r>
        <w:rPr>
          <w:rFonts w:hint="eastAsia"/>
          <w:b/>
          <w:bCs/>
          <w:sz w:val="32"/>
          <w:szCs w:val="32"/>
          <w:lang w:eastAsia="zh-CN"/>
        </w:rPr>
        <w:t>标准操作规程</w:t>
      </w:r>
    </w:p>
    <w:tbl>
      <w:tblPr>
        <w:tblStyle w:val="6"/>
        <w:tblpPr w:leftFromText="180" w:rightFromText="180" w:vertAnchor="page" w:horzAnchor="page" w:tblpX="1702" w:tblpY="2148"/>
        <w:tblOverlap w:val="never"/>
        <w:tblW w:w="87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5"/>
        <w:gridCol w:w="1515"/>
        <w:gridCol w:w="1530"/>
        <w:gridCol w:w="1365"/>
        <w:gridCol w:w="1380"/>
        <w:gridCol w:w="1530"/>
      </w:tblGrid>
      <w:tr w14:paraId="7C7F2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405" w:type="dxa"/>
          </w:tcPr>
          <w:p w14:paraId="20B377D5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题</w:t>
            </w:r>
            <w:r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目</w:t>
            </w:r>
          </w:p>
        </w:tc>
        <w:tc>
          <w:tcPr>
            <w:tcW w:w="7320" w:type="dxa"/>
            <w:gridSpan w:val="5"/>
          </w:tcPr>
          <w:p w14:paraId="5D5D4F97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cs="宋体" w:asciiTheme="majorEastAsia" w:hAnsiTheme="majorEastAsia" w:eastAsiaTheme="majorEastAsia"/>
                <w:bCs/>
                <w:sz w:val="28"/>
                <w:szCs w:val="28"/>
              </w:rPr>
              <w:t>年度／定期跟踪审查</w:t>
            </w: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的标准操作规程</w:t>
            </w:r>
          </w:p>
        </w:tc>
      </w:tr>
      <w:tr w14:paraId="1D201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405" w:type="dxa"/>
            <w:vAlign w:val="top"/>
          </w:tcPr>
          <w:p w14:paraId="65427714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拟定人</w:t>
            </w:r>
          </w:p>
        </w:tc>
        <w:tc>
          <w:tcPr>
            <w:tcW w:w="1515" w:type="dxa"/>
            <w:vAlign w:val="top"/>
          </w:tcPr>
          <w:p w14:paraId="7BE249A2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  <w:t>徐佳浩</w:t>
            </w:r>
          </w:p>
        </w:tc>
        <w:tc>
          <w:tcPr>
            <w:tcW w:w="1530" w:type="dxa"/>
            <w:vAlign w:val="top"/>
          </w:tcPr>
          <w:p w14:paraId="2919002E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  <w:t>审核人</w:t>
            </w:r>
          </w:p>
        </w:tc>
        <w:tc>
          <w:tcPr>
            <w:tcW w:w="1365" w:type="dxa"/>
            <w:vAlign w:val="top"/>
          </w:tcPr>
          <w:p w14:paraId="18408A2C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  <w:t>巨涛</w:t>
            </w:r>
          </w:p>
        </w:tc>
        <w:tc>
          <w:tcPr>
            <w:tcW w:w="1380" w:type="dxa"/>
            <w:vAlign w:val="top"/>
          </w:tcPr>
          <w:p w14:paraId="5584EF61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  <w:t>批准人</w:t>
            </w:r>
          </w:p>
        </w:tc>
        <w:tc>
          <w:tcPr>
            <w:tcW w:w="1530" w:type="dxa"/>
            <w:vAlign w:val="top"/>
          </w:tcPr>
          <w:p w14:paraId="3D91D295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  <w:t>张海涛</w:t>
            </w:r>
          </w:p>
        </w:tc>
      </w:tr>
      <w:bookmarkEnd w:id="0"/>
      <w:tr w14:paraId="52CCC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405" w:type="dxa"/>
            <w:vAlign w:val="top"/>
          </w:tcPr>
          <w:p w14:paraId="2F02A926">
            <w:pPr>
              <w:jc w:val="center"/>
              <w:rPr>
                <w:rFonts w:hint="eastAsia" w:ascii="Times New Roman" w:eastAsia="宋体"/>
                <w:b/>
                <w:bCs/>
                <w:sz w:val="28"/>
                <w:szCs w:val="28"/>
              </w:rPr>
            </w:pPr>
            <w:bookmarkStart w:id="1" w:name="_GoBack" w:colFirst="1" w:colLast="1"/>
            <w:bookmarkEnd w:id="1"/>
            <w:r>
              <w:rPr>
                <w:rFonts w:hint="eastAsia" w:ascii="Times New Roman" w:eastAsia="宋体"/>
                <w:b/>
                <w:bCs/>
                <w:sz w:val="28"/>
                <w:szCs w:val="28"/>
                <w:lang w:val="en-US" w:eastAsia="zh-CN"/>
              </w:rPr>
              <w:t>拟定时间</w:t>
            </w:r>
          </w:p>
        </w:tc>
        <w:tc>
          <w:tcPr>
            <w:tcW w:w="1515" w:type="dxa"/>
            <w:shd w:val="clear" w:color="auto" w:fill="auto"/>
            <w:vAlign w:val="top"/>
          </w:tcPr>
          <w:p w14:paraId="467BDACD">
            <w:pPr>
              <w:jc w:val="center"/>
              <w:rPr>
                <w:rFonts w:hint="eastAsia" w:ascii="Times New Roman" w:eastAsia="宋体" w:hAnsiTheme="minorHAnsi" w:cstheme="minorBidi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  <w:t>2026.8.3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12B19166">
            <w:pPr>
              <w:jc w:val="center"/>
              <w:rPr>
                <w:rFonts w:hint="eastAsia" w:ascii="Times New Roman" w:eastAsia="宋体" w:hAnsiTheme="minorHAnsi" w:cstheme="minorBidi"/>
                <w:b/>
                <w:bCs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  <w:t>审核</w:t>
            </w: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  <w:lang w:val="en-US" w:eastAsia="zh-CN"/>
              </w:rPr>
              <w:t>时间</w:t>
            </w:r>
          </w:p>
        </w:tc>
        <w:tc>
          <w:tcPr>
            <w:tcW w:w="1365" w:type="dxa"/>
            <w:shd w:val="clear" w:color="auto" w:fill="auto"/>
            <w:vAlign w:val="top"/>
          </w:tcPr>
          <w:p w14:paraId="57AF9E29">
            <w:pPr>
              <w:jc w:val="center"/>
              <w:rPr>
                <w:rFonts w:hint="eastAsia" w:ascii="Times New Roman" w:eastAsia="宋体" w:hAnsiTheme="minorHAnsi" w:cstheme="minorBidi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  <w:t>2026.8.13</w:t>
            </w:r>
          </w:p>
        </w:tc>
        <w:tc>
          <w:tcPr>
            <w:tcW w:w="1380" w:type="dxa"/>
            <w:shd w:val="clear" w:color="auto" w:fill="auto"/>
            <w:vAlign w:val="top"/>
          </w:tcPr>
          <w:p w14:paraId="5D68DAD2">
            <w:pPr>
              <w:jc w:val="center"/>
              <w:rPr>
                <w:rFonts w:hint="eastAsia" w:ascii="Times New Roman" w:eastAsia="宋体" w:hAnsiTheme="minorHAnsi" w:cstheme="minorBidi"/>
                <w:b/>
                <w:bCs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  <w:t>批准</w:t>
            </w: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  <w:lang w:val="en-US" w:eastAsia="zh-CN"/>
              </w:rPr>
              <w:t>时间</w:t>
            </w:r>
          </w:p>
        </w:tc>
        <w:tc>
          <w:tcPr>
            <w:tcW w:w="1530" w:type="dxa"/>
            <w:shd w:val="clear" w:color="auto" w:fill="auto"/>
            <w:vAlign w:val="top"/>
          </w:tcPr>
          <w:p w14:paraId="605843BF">
            <w:pPr>
              <w:jc w:val="center"/>
              <w:rPr>
                <w:rFonts w:hint="eastAsia" w:ascii="Times New Roman" w:eastAsia="宋体" w:hAnsiTheme="minorHAnsi" w:cstheme="minorBidi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  <w:t>2026.8.24</w:t>
            </w:r>
          </w:p>
        </w:tc>
      </w:tr>
      <w:tr w14:paraId="3EBB4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405" w:type="dxa"/>
            <w:vAlign w:val="top"/>
          </w:tcPr>
          <w:p w14:paraId="0558082A">
            <w:pPr>
              <w:jc w:val="center"/>
              <w:rPr>
                <w:rFonts w:hint="eastAsia" w:ascii="Times New Roman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编</w:t>
            </w:r>
            <w:r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号</w:t>
            </w:r>
          </w:p>
        </w:tc>
        <w:tc>
          <w:tcPr>
            <w:tcW w:w="3045" w:type="dxa"/>
            <w:gridSpan w:val="2"/>
            <w:vAlign w:val="top"/>
          </w:tcPr>
          <w:p w14:paraId="5017F1FC">
            <w:pPr>
              <w:jc w:val="center"/>
              <w:rPr>
                <w:rFonts w:hint="default" w:ascii="Times New Roman" w:eastAsia="宋体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alibri Light"/>
                <w:sz w:val="28"/>
                <w:szCs w:val="28"/>
              </w:rPr>
              <w:t>YDXY-EC-SOP-00</w:t>
            </w:r>
            <w:r>
              <w:rPr>
                <w:rFonts w:hint="eastAsia" w:ascii="Calibri Light"/>
                <w:sz w:val="28"/>
                <w:szCs w:val="28"/>
                <w:lang w:val="en-US" w:eastAsia="zh-CN"/>
              </w:rPr>
              <w:t>3</w:t>
            </w:r>
            <w:r>
              <w:rPr>
                <w:rFonts w:ascii="Calibri Light"/>
                <w:sz w:val="28"/>
                <w:szCs w:val="28"/>
              </w:rPr>
              <w:t>-</w:t>
            </w:r>
            <w:r>
              <w:rPr>
                <w:rFonts w:hint="eastAsia" w:ascii="Calibri Light"/>
                <w:sz w:val="28"/>
                <w:szCs w:val="28"/>
                <w:lang w:val="en-US" w:eastAsia="zh-CN"/>
              </w:rPr>
              <w:t>4.0</w:t>
            </w:r>
          </w:p>
        </w:tc>
        <w:tc>
          <w:tcPr>
            <w:tcW w:w="1365" w:type="dxa"/>
            <w:vAlign w:val="top"/>
          </w:tcPr>
          <w:p w14:paraId="7D85F2E5">
            <w:pPr>
              <w:jc w:val="center"/>
              <w:rPr>
                <w:rFonts w:hint="eastAsia" w:ascii="Times New Roman" w:eastAsia="宋体"/>
                <w:sz w:val="28"/>
                <w:szCs w:val="28"/>
              </w:rPr>
            </w:pP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生效日期</w:t>
            </w:r>
          </w:p>
        </w:tc>
        <w:tc>
          <w:tcPr>
            <w:tcW w:w="2910" w:type="dxa"/>
            <w:gridSpan w:val="2"/>
            <w:vAlign w:val="top"/>
          </w:tcPr>
          <w:p w14:paraId="13DD143B">
            <w:pPr>
              <w:jc w:val="center"/>
              <w:rPr>
                <w:rFonts w:hint="default" w:asci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eastAsia="宋体"/>
                <w:sz w:val="28"/>
                <w:szCs w:val="28"/>
                <w:lang w:val="en-US" w:eastAsia="zh-CN"/>
              </w:rPr>
              <w:t>2026.9.1</w:t>
            </w:r>
          </w:p>
        </w:tc>
      </w:tr>
      <w:tr w14:paraId="5C415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9" w:hRule="atLeast"/>
        </w:trPr>
        <w:tc>
          <w:tcPr>
            <w:tcW w:w="1405" w:type="dxa"/>
          </w:tcPr>
          <w:p w14:paraId="306AE2EB">
            <w:pPr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eastAsia="宋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内</w:t>
            </w:r>
            <w:r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容</w:t>
            </w:r>
          </w:p>
          <w:p w14:paraId="78A201BB">
            <w:pPr>
              <w:rPr>
                <w:rFonts w:ascii="Times New Roman" w:hAnsi="Times New Roman" w:eastAsia="宋体"/>
              </w:rPr>
            </w:pPr>
          </w:p>
          <w:p w14:paraId="069ABC99">
            <w:pPr>
              <w:rPr>
                <w:rFonts w:ascii="Times New Roman" w:hAnsi="Times New Roman" w:eastAsia="宋体"/>
              </w:rPr>
            </w:pPr>
          </w:p>
          <w:p w14:paraId="73ACF69F">
            <w:pPr>
              <w:rPr>
                <w:rFonts w:ascii="Times New Roman" w:hAnsi="Times New Roman" w:eastAsia="宋体"/>
              </w:rPr>
            </w:pPr>
          </w:p>
          <w:p w14:paraId="5247DD64">
            <w:pPr>
              <w:rPr>
                <w:rFonts w:ascii="Times New Roman" w:hAnsi="Times New Roman" w:eastAsia="宋体"/>
              </w:rPr>
            </w:pPr>
          </w:p>
          <w:p w14:paraId="6F2922BB">
            <w:pPr>
              <w:rPr>
                <w:rFonts w:ascii="Times New Roman" w:hAnsi="Times New Roman" w:eastAsia="宋体"/>
              </w:rPr>
            </w:pPr>
          </w:p>
          <w:p w14:paraId="0DBAA83D">
            <w:pPr>
              <w:rPr>
                <w:rFonts w:ascii="Times New Roman" w:hAnsi="Times New Roman" w:eastAsia="宋体"/>
              </w:rPr>
            </w:pPr>
          </w:p>
          <w:p w14:paraId="4034C9A2">
            <w:pPr>
              <w:rPr>
                <w:rFonts w:ascii="Times New Roman" w:hAnsi="Times New Roman" w:eastAsia="宋体"/>
              </w:rPr>
            </w:pPr>
          </w:p>
          <w:p w14:paraId="04F8FBDD">
            <w:pPr>
              <w:rPr>
                <w:rFonts w:ascii="Times New Roman" w:hAnsi="Times New Roman" w:eastAsia="宋体"/>
              </w:rPr>
            </w:pPr>
          </w:p>
          <w:p w14:paraId="3AC477FF">
            <w:pPr>
              <w:rPr>
                <w:rFonts w:ascii="Times New Roman" w:hAnsi="Times New Roman" w:eastAsia="宋体"/>
              </w:rPr>
            </w:pPr>
          </w:p>
          <w:p w14:paraId="6C0BC66D">
            <w:pPr>
              <w:rPr>
                <w:rFonts w:ascii="Times New Roman" w:hAnsi="Times New Roman" w:eastAsia="宋体"/>
              </w:rPr>
            </w:pPr>
          </w:p>
          <w:p w14:paraId="24FB7D22">
            <w:pPr>
              <w:rPr>
                <w:rFonts w:ascii="Times New Roman" w:hAnsi="Times New Roman" w:eastAsia="宋体"/>
              </w:rPr>
            </w:pPr>
          </w:p>
          <w:p w14:paraId="515B55D7">
            <w:pPr>
              <w:rPr>
                <w:rFonts w:ascii="Times New Roman" w:hAnsi="Times New Roman" w:eastAsia="宋体"/>
              </w:rPr>
            </w:pPr>
          </w:p>
          <w:p w14:paraId="1C7FFE4B">
            <w:pPr>
              <w:rPr>
                <w:rFonts w:ascii="Times New Roman" w:hAnsi="Times New Roman" w:eastAsia="宋体"/>
              </w:rPr>
            </w:pPr>
          </w:p>
          <w:p w14:paraId="4BCCEC34">
            <w:pPr>
              <w:rPr>
                <w:rFonts w:ascii="Times New Roman" w:hAnsi="Times New Roman" w:eastAsia="宋体"/>
              </w:rPr>
            </w:pPr>
          </w:p>
          <w:p w14:paraId="35F8CDC3">
            <w:pPr>
              <w:rPr>
                <w:rFonts w:ascii="Times New Roman" w:hAnsi="Times New Roman" w:eastAsia="宋体"/>
              </w:rPr>
            </w:pPr>
          </w:p>
          <w:p w14:paraId="25917EEE">
            <w:pPr>
              <w:rPr>
                <w:rFonts w:ascii="Times New Roman" w:hAnsi="Times New Roman" w:eastAsia="宋体"/>
              </w:rPr>
            </w:pPr>
          </w:p>
          <w:p w14:paraId="25232A37">
            <w:pPr>
              <w:rPr>
                <w:rFonts w:ascii="Times New Roman" w:hAnsi="Times New Roman" w:eastAsia="宋体"/>
              </w:rPr>
            </w:pPr>
          </w:p>
          <w:p w14:paraId="28787DEB">
            <w:pPr>
              <w:rPr>
                <w:rFonts w:ascii="Times New Roman" w:hAnsi="Times New Roman" w:eastAsia="宋体"/>
              </w:rPr>
            </w:pPr>
          </w:p>
          <w:p w14:paraId="524E82B1">
            <w:pPr>
              <w:rPr>
                <w:rFonts w:ascii="Times New Roman" w:hAnsi="Times New Roman" w:eastAsia="宋体"/>
              </w:rPr>
            </w:pPr>
          </w:p>
          <w:p w14:paraId="4B2D28DD">
            <w:pPr>
              <w:rPr>
                <w:rFonts w:ascii="Times New Roman" w:hAnsi="Times New Roman" w:eastAsia="宋体"/>
              </w:rPr>
            </w:pPr>
          </w:p>
          <w:p w14:paraId="154FD2E0">
            <w:pPr>
              <w:jc w:val="center"/>
              <w:rPr>
                <w:rFonts w:ascii="Times New Roman" w:hAnsi="Times New Roman" w:eastAsia="宋体"/>
              </w:rPr>
            </w:pPr>
          </w:p>
        </w:tc>
        <w:tc>
          <w:tcPr>
            <w:tcW w:w="7320" w:type="dxa"/>
            <w:gridSpan w:val="5"/>
          </w:tcPr>
          <w:p w14:paraId="141C16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（一）目的</w:t>
            </w:r>
          </w:p>
          <w:p w14:paraId="2281F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为使</w:t>
            </w:r>
            <w:r>
              <w:rPr>
                <w:rFonts w:hint="eastAsia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/>
                <w:sz w:val="28"/>
                <w:szCs w:val="28"/>
              </w:rPr>
              <w:t>年度／定期跟踪审查的受理、处理、审查、传达决定、文件存档的工作有章可循，特制定本规程，以从程序上保证年度／定期跟踪审查工作的质量。</w:t>
            </w:r>
          </w:p>
          <w:p w14:paraId="173EE6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（二）范围</w:t>
            </w:r>
          </w:p>
          <w:p w14:paraId="46F721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、申请人应按照伦理审查</w:t>
            </w:r>
            <w:r>
              <w:rPr>
                <w:rFonts w:hint="eastAsia"/>
                <w:sz w:val="28"/>
                <w:szCs w:val="28"/>
                <w:lang w:eastAsia="zh-CN"/>
              </w:rPr>
              <w:t>批件</w:t>
            </w:r>
            <w:r>
              <w:rPr>
                <w:rFonts w:hint="eastAsia"/>
                <w:sz w:val="28"/>
                <w:szCs w:val="28"/>
              </w:rPr>
              <w:t>／意见规定的年度／定期跟踪审查频率，在截止时间前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个月提交“研究进展报告”；申办者应当向组长单位</w:t>
            </w:r>
            <w:r>
              <w:rPr>
                <w:rFonts w:hint="eastAsia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/>
                <w:sz w:val="28"/>
                <w:szCs w:val="28"/>
              </w:rPr>
              <w:t>提交各中心“研究进展的汇总报告”；当出现任何可能显著影响</w:t>
            </w:r>
            <w:r>
              <w:rPr>
                <w:rFonts w:hint="eastAsia"/>
                <w:sz w:val="28"/>
                <w:szCs w:val="28"/>
                <w:lang w:eastAsia="zh-CN"/>
              </w:rPr>
              <w:t>研究</w:t>
            </w:r>
            <w:r>
              <w:rPr>
                <w:rFonts w:hint="eastAsia"/>
                <w:sz w:val="28"/>
                <w:szCs w:val="28"/>
              </w:rPr>
              <w:t>进行，或增加</w:t>
            </w:r>
            <w:r>
              <w:rPr>
                <w:rFonts w:hint="eastAsia"/>
                <w:sz w:val="28"/>
                <w:szCs w:val="28"/>
                <w:lang w:eastAsia="zh-CN"/>
              </w:rPr>
              <w:t>研究参与者</w:t>
            </w:r>
            <w:r>
              <w:rPr>
                <w:rFonts w:hint="eastAsia"/>
                <w:sz w:val="28"/>
                <w:szCs w:val="28"/>
              </w:rPr>
              <w:t>危险的情况时，应以“研究进展报告”的方式及时报告</w:t>
            </w:r>
            <w:r>
              <w:rPr>
                <w:rFonts w:hint="eastAsia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/>
                <w:sz w:val="28"/>
                <w:szCs w:val="28"/>
              </w:rPr>
              <w:t>。如果伦理审查</w:t>
            </w:r>
            <w:r>
              <w:rPr>
                <w:rFonts w:hint="eastAsia"/>
                <w:sz w:val="28"/>
                <w:szCs w:val="28"/>
                <w:lang w:eastAsia="zh-CN"/>
              </w:rPr>
              <w:t>批件</w:t>
            </w:r>
            <w:r>
              <w:rPr>
                <w:rFonts w:hint="eastAsia"/>
                <w:sz w:val="28"/>
                <w:szCs w:val="28"/>
              </w:rPr>
              <w:t>有效期到期，需要申请延长</w:t>
            </w:r>
            <w:r>
              <w:rPr>
                <w:rFonts w:hint="eastAsia"/>
                <w:sz w:val="28"/>
                <w:szCs w:val="28"/>
                <w:lang w:eastAsia="zh-CN"/>
              </w:rPr>
              <w:t>批件</w:t>
            </w:r>
            <w:r>
              <w:rPr>
                <w:rFonts w:hint="eastAsia"/>
                <w:sz w:val="28"/>
                <w:szCs w:val="28"/>
              </w:rPr>
              <w:t>有效期，应通过“研究进展报告”申请。</w:t>
            </w:r>
          </w:p>
          <w:p w14:paraId="74F569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、本</w:t>
            </w:r>
            <w:r>
              <w:rPr>
                <w:sz w:val="28"/>
                <w:szCs w:val="28"/>
              </w:rPr>
              <w:t>SOP</w:t>
            </w:r>
            <w:r>
              <w:rPr>
                <w:rFonts w:hint="eastAsia"/>
                <w:sz w:val="28"/>
                <w:szCs w:val="28"/>
              </w:rPr>
              <w:t>适用于</w:t>
            </w:r>
            <w:r>
              <w:rPr>
                <w:rFonts w:hint="eastAsia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/>
                <w:sz w:val="28"/>
                <w:szCs w:val="28"/>
              </w:rPr>
              <w:t>对“研究进展报告”所进行的年度</w:t>
            </w:r>
            <w:r>
              <w:rPr>
                <w:sz w:val="28"/>
                <w:szCs w:val="28"/>
              </w:rPr>
              <w:t>/</w:t>
            </w:r>
            <w:r>
              <w:rPr>
                <w:rFonts w:hint="eastAsia"/>
                <w:sz w:val="28"/>
                <w:szCs w:val="28"/>
              </w:rPr>
              <w:t>定期跟踪审查。</w:t>
            </w:r>
          </w:p>
          <w:p w14:paraId="49C15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eastAsia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三</w:t>
            </w:r>
            <w:r>
              <w:rPr>
                <w:rFonts w:hint="eastAsia"/>
                <w:sz w:val="28"/>
                <w:szCs w:val="28"/>
              </w:rPr>
              <w:t>）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规程</w:t>
            </w:r>
          </w:p>
          <w:p w14:paraId="5318F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、受理：形式审查</w:t>
            </w:r>
          </w:p>
          <w:p w14:paraId="7872C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）送审文件的完整性</w:t>
            </w:r>
          </w:p>
          <w:p w14:paraId="11B6FE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年度／定期跟踪审查的送审文件包括：递交信</w:t>
            </w:r>
            <w:r>
              <w:rPr>
                <w:rFonts w:hint="eastAsia"/>
                <w:sz w:val="28"/>
                <w:szCs w:val="28"/>
                <w:lang w:eastAsia="zh-CN"/>
              </w:rPr>
              <w:t>，</w:t>
            </w:r>
            <w:r>
              <w:rPr>
                <w:rFonts w:hint="eastAsia"/>
                <w:sz w:val="28"/>
                <w:szCs w:val="28"/>
              </w:rPr>
              <w:t>研究进展报告（多中心临床研究，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本</w:t>
            </w:r>
            <w:r>
              <w:rPr>
                <w:rFonts w:hint="eastAsia"/>
                <w:sz w:val="28"/>
                <w:szCs w:val="28"/>
              </w:rPr>
              <w:t>院为组长单位，研究进展报告应报告各中心的研究进展</w:t>
            </w:r>
            <w:r>
              <w:rPr>
                <w:rFonts w:hint="eastAsia"/>
                <w:sz w:val="28"/>
                <w:szCs w:val="28"/>
                <w:lang w:eastAsia="zh-CN"/>
              </w:rPr>
              <w:t>汇总</w:t>
            </w:r>
            <w:r>
              <w:rPr>
                <w:rFonts w:hint="eastAsia"/>
                <w:sz w:val="28"/>
                <w:szCs w:val="28"/>
              </w:rPr>
              <w:t>），组长单位伦理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审查</w:t>
            </w:r>
            <w:r>
              <w:rPr>
                <w:rFonts w:hint="eastAsia"/>
                <w:sz w:val="28"/>
                <w:szCs w:val="28"/>
              </w:rPr>
              <w:t>委员会的年度/定期跟踪审查的决定文件</w:t>
            </w:r>
            <w:r>
              <w:rPr>
                <w:rFonts w:hint="eastAsia"/>
                <w:sz w:val="28"/>
                <w:szCs w:val="28"/>
                <w:lang w:eastAsia="zh-CN"/>
              </w:rPr>
              <w:t>（</w:t>
            </w:r>
            <w:r>
              <w:rPr>
                <w:rFonts w:hint="eastAsia"/>
                <w:sz w:val="28"/>
                <w:szCs w:val="28"/>
              </w:rPr>
              <w:t>多中心临床研究</w:t>
            </w:r>
            <w:r>
              <w:rPr>
                <w:rFonts w:hint="eastAsia"/>
                <w:sz w:val="28"/>
                <w:szCs w:val="28"/>
                <w:lang w:eastAsia="zh-CN"/>
              </w:rPr>
              <w:t>，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本院为参与单位适用</w:t>
            </w:r>
            <w:r>
              <w:rPr>
                <w:rFonts w:hint="eastAsia"/>
                <w:sz w:val="28"/>
                <w:szCs w:val="28"/>
                <w:lang w:eastAsia="zh-CN"/>
              </w:rPr>
              <w:t>）</w:t>
            </w:r>
            <w:r>
              <w:rPr>
                <w:rFonts w:hint="eastAsia"/>
                <w:sz w:val="28"/>
                <w:szCs w:val="28"/>
              </w:rPr>
              <w:t>，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轻度方案偏离列表，</w:t>
            </w:r>
            <w:r>
              <w:rPr>
                <w:rFonts w:hint="eastAsia"/>
                <w:sz w:val="28"/>
                <w:szCs w:val="28"/>
              </w:rPr>
              <w:t>其</w:t>
            </w:r>
            <w:r>
              <w:rPr>
                <w:rFonts w:hint="eastAsia"/>
                <w:sz w:val="28"/>
                <w:szCs w:val="28"/>
                <w:lang w:eastAsia="zh-CN"/>
              </w:rPr>
              <w:t>他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  <w:p w14:paraId="07B56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）送审文件的要素</w:t>
            </w:r>
          </w:p>
          <w:p w14:paraId="14036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研究进展报告填写正确、完整，申请人签名并注明时间。</w:t>
            </w:r>
          </w:p>
          <w:p w14:paraId="0C51A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、处理</w:t>
            </w:r>
          </w:p>
          <w:p w14:paraId="3F2BE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）决定审查方式</w:t>
            </w:r>
          </w:p>
          <w:p w14:paraId="42D4E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）一般采用快速审查</w:t>
            </w:r>
          </w:p>
          <w:p w14:paraId="27A2B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/>
                <w:sz w:val="28"/>
                <w:szCs w:val="28"/>
              </w:rPr>
              <w:t>）转为会议审查：快审主审意见有“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暂停或者终止研究</w:t>
            </w:r>
            <w:r>
              <w:rPr>
                <w:rFonts w:hint="eastAsia"/>
                <w:sz w:val="28"/>
                <w:szCs w:val="28"/>
              </w:rPr>
              <w:t>”</w:t>
            </w:r>
            <w:r>
              <w:rPr>
                <w:rFonts w:hint="eastAsia"/>
                <w:sz w:val="28"/>
                <w:szCs w:val="28"/>
                <w:lang w:eastAsia="zh-CN"/>
              </w:rPr>
              <w:t>、</w:t>
            </w:r>
            <w:r>
              <w:rPr>
                <w:rFonts w:hint="eastAsia"/>
                <w:sz w:val="28"/>
                <w:szCs w:val="28"/>
              </w:rPr>
              <w:t>“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修改后再审</w:t>
            </w:r>
            <w:r>
              <w:rPr>
                <w:rFonts w:hint="eastAsia"/>
                <w:sz w:val="28"/>
                <w:szCs w:val="28"/>
              </w:rPr>
              <w:t>”</w:t>
            </w:r>
            <w:r>
              <w:rPr>
                <w:rFonts w:hint="eastAsia"/>
                <w:sz w:val="28"/>
                <w:szCs w:val="28"/>
                <w:lang w:eastAsia="zh-CN"/>
              </w:rPr>
              <w:t>、</w:t>
            </w:r>
            <w:r>
              <w:rPr>
                <w:rFonts w:hint="eastAsia"/>
                <w:sz w:val="28"/>
                <w:szCs w:val="28"/>
              </w:rPr>
              <w:t>“提交会议审查”，或</w:t>
            </w: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名主审委员的审查意见不一致则转为会议审查的方式。</w:t>
            </w:r>
          </w:p>
          <w:p w14:paraId="6808D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）审查的准备</w:t>
            </w:r>
          </w:p>
          <w:p w14:paraId="376E77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主审的准备：①主审委员的选择：每个项目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主任委员指定2</w:t>
            </w:r>
            <w:r>
              <w:rPr>
                <w:rFonts w:hint="eastAsia"/>
                <w:sz w:val="28"/>
                <w:szCs w:val="28"/>
              </w:rPr>
              <w:t>名主审委员；会议审查优先选择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初审</w:t>
            </w:r>
            <w:r>
              <w:rPr>
                <w:rFonts w:hint="eastAsia"/>
                <w:sz w:val="28"/>
                <w:szCs w:val="28"/>
              </w:rPr>
              <w:t>主审委员，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若初审</w:t>
            </w:r>
            <w:r>
              <w:rPr>
                <w:rFonts w:hint="eastAsia"/>
                <w:sz w:val="28"/>
                <w:szCs w:val="28"/>
              </w:rPr>
              <w:t>主审委员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无法审查，则按照《初始审查的标准操作规程》</w:t>
            </w:r>
            <w:r>
              <w:rPr>
                <w:rFonts w:hint="eastAsia"/>
                <w:sz w:val="28"/>
                <w:szCs w:val="28"/>
              </w:rPr>
              <w:t>主审委员的选择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指定主审委员</w:t>
            </w:r>
            <w:r>
              <w:rPr>
                <w:rFonts w:hint="eastAsia"/>
                <w:sz w:val="28"/>
                <w:szCs w:val="28"/>
              </w:rPr>
              <w:t>；②准备审查文件：为主审委员准备主审项目的整套送审文件</w:t>
            </w:r>
            <w:r>
              <w:rPr>
                <w:rFonts w:hint="eastAsia"/>
                <w:sz w:val="28"/>
                <w:szCs w:val="28"/>
                <w:lang w:eastAsia="zh-CN"/>
              </w:rPr>
              <w:t>以及</w:t>
            </w:r>
            <w:r>
              <w:rPr>
                <w:rFonts w:hint="eastAsia"/>
                <w:sz w:val="28"/>
                <w:szCs w:val="28"/>
              </w:rPr>
              <w:t>“</w:t>
            </w:r>
            <w:r>
              <w:rPr>
                <w:rFonts w:hint="eastAsia"/>
                <w:sz w:val="28"/>
                <w:szCs w:val="28"/>
                <w:lang w:eastAsia="zh-CN"/>
              </w:rPr>
              <w:t>审查工作表</w:t>
            </w:r>
            <w:r>
              <w:rPr>
                <w:rFonts w:hint="eastAsia"/>
                <w:sz w:val="28"/>
                <w:szCs w:val="28"/>
              </w:rPr>
              <w:t>”；必要时，提供查阅当前使用版本的方案和知情同意书的便利条件。</w:t>
            </w:r>
          </w:p>
          <w:p w14:paraId="6A585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</w:t>
            </w:r>
            <w:r>
              <w:rPr>
                <w:rFonts w:hint="eastAsia"/>
                <w:color w:val="auto"/>
                <w:sz w:val="28"/>
                <w:szCs w:val="28"/>
              </w:rPr>
              <w:t>、审查</w:t>
            </w:r>
          </w:p>
          <w:p w14:paraId="5C9AC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）审查程序</w:t>
            </w:r>
          </w:p>
          <w:p w14:paraId="54D8E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1）</w:t>
            </w:r>
            <w:r>
              <w:rPr>
                <w:rFonts w:hint="eastAsia"/>
                <w:sz w:val="28"/>
                <w:szCs w:val="28"/>
              </w:rPr>
              <w:t>会议审查</w:t>
            </w:r>
            <w:r>
              <w:rPr>
                <w:rFonts w:hint="eastAsia"/>
                <w:sz w:val="28"/>
                <w:szCs w:val="28"/>
                <w:lang w:eastAsia="zh-CN"/>
              </w:rPr>
              <w:t>。</w:t>
            </w:r>
          </w:p>
          <w:p w14:paraId="58990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2）</w:t>
            </w:r>
            <w:r>
              <w:rPr>
                <w:rFonts w:hint="eastAsia"/>
                <w:sz w:val="28"/>
                <w:szCs w:val="28"/>
              </w:rPr>
              <w:t>快速审查。</w:t>
            </w:r>
          </w:p>
          <w:p w14:paraId="35DCC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）审查要素</w:t>
            </w:r>
          </w:p>
          <w:p w14:paraId="59545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1）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增加研究参与者风险的非预期问题的累计风险是否可以接受</w:t>
            </w:r>
            <w:r>
              <w:rPr>
                <w:rFonts w:hint="eastAsia"/>
                <w:sz w:val="28"/>
                <w:szCs w:val="28"/>
                <w:lang w:eastAsia="zh-CN"/>
              </w:rPr>
              <w:t>。</w:t>
            </w:r>
          </w:p>
          <w:p w14:paraId="420EF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2）显著影响临床研究实施的非预期问题的累计风险是否可以接受。</w:t>
            </w:r>
          </w:p>
          <w:p w14:paraId="1EE8D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3）研究是否继续满足伦理审查同意研究的标准。</w:t>
            </w:r>
          </w:p>
          <w:p w14:paraId="41C368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3</w:t>
            </w:r>
            <w:r>
              <w:rPr>
                <w:rFonts w:hint="eastAsia"/>
                <w:sz w:val="28"/>
                <w:szCs w:val="28"/>
              </w:rPr>
              <w:t>）审查决定</w:t>
            </w:r>
          </w:p>
          <w:p w14:paraId="063E1C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 w:eastAsiaTheme="minorEastAsia"/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）是否</w:t>
            </w:r>
            <w:r>
              <w:rPr>
                <w:rFonts w:hint="eastAsia"/>
                <w:sz w:val="28"/>
                <w:szCs w:val="28"/>
                <w:lang w:eastAsia="zh-CN"/>
              </w:rPr>
              <w:t>同意</w:t>
            </w:r>
            <w:r>
              <w:rPr>
                <w:rFonts w:hint="eastAsia"/>
                <w:sz w:val="28"/>
                <w:szCs w:val="28"/>
              </w:rPr>
              <w:t>研究项目：①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继续研究</w:t>
            </w:r>
            <w:r>
              <w:rPr>
                <w:rFonts w:hint="eastAsia"/>
                <w:sz w:val="28"/>
                <w:szCs w:val="28"/>
              </w:rPr>
              <w:t>；②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修改后批准</w:t>
            </w:r>
            <w:r>
              <w:rPr>
                <w:rFonts w:hint="eastAsia"/>
                <w:sz w:val="28"/>
                <w:szCs w:val="28"/>
              </w:rPr>
              <w:t>；</w:t>
            </w:r>
            <w:r>
              <w:rPr>
                <w:rFonts w:hint="eastAsia" w:ascii="Times New Roman" w:hAnsi="Times New Roman" w:cs="宋体" w:eastAsiaTheme="minorEastAsia"/>
                <w:kern w:val="0"/>
                <w:sz w:val="28"/>
                <w:szCs w:val="28"/>
                <w:lang w:eastAsia="zh-CN"/>
              </w:rPr>
              <w:t>③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val="en-US" w:eastAsia="zh-CN"/>
              </w:rPr>
              <w:t>修改后再审；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</w:rPr>
              <w:t>④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暂停或者终止研究</w:t>
            </w:r>
            <w:r>
              <w:rPr>
                <w:rFonts w:hint="eastAsia"/>
                <w:sz w:val="28"/>
                <w:szCs w:val="28"/>
                <w:lang w:eastAsia="zh-CN"/>
              </w:rPr>
              <w:t>。</w:t>
            </w:r>
          </w:p>
          <w:p w14:paraId="5F1A54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）跟踪审查频率：根据研究风险有无变化等情况，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主审委员</w:t>
            </w:r>
            <w:r>
              <w:rPr>
                <w:rFonts w:hint="eastAsia"/>
                <w:sz w:val="28"/>
                <w:szCs w:val="28"/>
              </w:rPr>
              <w:t>决定是否调整跟踪审查的频率</w:t>
            </w:r>
            <w:r>
              <w:rPr>
                <w:rFonts w:hint="eastAsia"/>
                <w:sz w:val="28"/>
                <w:szCs w:val="28"/>
                <w:lang w:eastAsia="zh-CN"/>
              </w:rPr>
              <w:t>，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最长不超过12个月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  <w:p w14:paraId="187AA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/>
                <w:sz w:val="28"/>
                <w:szCs w:val="28"/>
              </w:rPr>
              <w:t>）（快速审查）是否更改审查方式：提交会议审查。</w:t>
            </w:r>
          </w:p>
          <w:p w14:paraId="4144C9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>
              <w:rPr>
                <w:rFonts w:hint="eastAsia"/>
                <w:sz w:val="28"/>
                <w:szCs w:val="28"/>
              </w:rPr>
              <w:t>、传达决定</w:t>
            </w:r>
          </w:p>
          <w:p w14:paraId="6C33F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）传达形式：所有决定均以“伦理审查意见”的形式传达。</w:t>
            </w:r>
          </w:p>
          <w:p w14:paraId="07F142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/>
                <w:sz w:val="28"/>
                <w:szCs w:val="28"/>
              </w:rPr>
              <w:t>）传达时限：在审查决定后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5个工作日</w:t>
            </w:r>
            <w:r>
              <w:rPr>
                <w:rFonts w:hint="eastAsia"/>
                <w:sz w:val="28"/>
                <w:szCs w:val="28"/>
              </w:rPr>
              <w:t>内完成决定的传达。</w:t>
            </w:r>
          </w:p>
          <w:p w14:paraId="545CE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>
              <w:rPr>
                <w:rFonts w:hint="eastAsia"/>
                <w:sz w:val="28"/>
                <w:szCs w:val="28"/>
              </w:rPr>
              <w:t>、文件存档</w:t>
            </w:r>
          </w:p>
          <w:p w14:paraId="4CA554B0">
            <w:pPr>
              <w:ind w:firstLine="560" w:firstLineChars="2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）审查过程中形成、积累、保存的文件，按审查阶段及时存档或归档、建立／更新项目档案目录。</w:t>
            </w:r>
          </w:p>
          <w:p w14:paraId="0DBDEFA6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/>
                <w:sz w:val="28"/>
                <w:szCs w:val="28"/>
              </w:rPr>
              <w:t>）会议审查的项目存档文件：项目送审文件，“</w:t>
            </w:r>
            <w:r>
              <w:rPr>
                <w:rFonts w:hint="eastAsia"/>
                <w:sz w:val="28"/>
                <w:szCs w:val="28"/>
                <w:lang w:eastAsia="zh-CN"/>
              </w:rPr>
              <w:t>审查工作表</w:t>
            </w:r>
            <w:r>
              <w:rPr>
                <w:rFonts w:hint="eastAsia"/>
                <w:sz w:val="28"/>
                <w:szCs w:val="28"/>
              </w:rPr>
              <w:t>”，会议签到表，会议</w:t>
            </w:r>
            <w:r>
              <w:rPr>
                <w:rFonts w:hint="eastAsia"/>
                <w:sz w:val="28"/>
                <w:szCs w:val="28"/>
                <w:lang w:eastAsia="zh-CN"/>
              </w:rPr>
              <w:t>审查</w:t>
            </w:r>
            <w:r>
              <w:rPr>
                <w:rFonts w:hint="eastAsia"/>
                <w:sz w:val="28"/>
                <w:szCs w:val="28"/>
              </w:rPr>
              <w:t>决定表</w:t>
            </w:r>
            <w:r>
              <w:rPr>
                <w:rFonts w:hint="eastAsia"/>
                <w:sz w:val="28"/>
                <w:szCs w:val="28"/>
                <w:lang w:eastAsia="zh-CN"/>
              </w:rPr>
              <w:t>，</w:t>
            </w:r>
            <w:r>
              <w:rPr>
                <w:rFonts w:hint="eastAsia"/>
                <w:sz w:val="28"/>
                <w:szCs w:val="28"/>
              </w:rPr>
              <w:t>投票单，会议记录，伦理审查决定文件。</w:t>
            </w:r>
          </w:p>
          <w:p w14:paraId="4401799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/>
                <w:sz w:val="28"/>
                <w:szCs w:val="28"/>
              </w:rPr>
              <w:t>）快速审查的项目存档文件：项目送审文件，“</w:t>
            </w:r>
            <w:r>
              <w:rPr>
                <w:rFonts w:hint="eastAsia"/>
                <w:sz w:val="28"/>
                <w:szCs w:val="28"/>
                <w:lang w:eastAsia="zh-CN"/>
              </w:rPr>
              <w:t>审查工作表</w:t>
            </w:r>
            <w:r>
              <w:rPr>
                <w:rFonts w:hint="eastAsia"/>
                <w:sz w:val="28"/>
                <w:szCs w:val="28"/>
              </w:rPr>
              <w:t>”，快审主审综合意见</w:t>
            </w:r>
            <w:r>
              <w:rPr>
                <w:rFonts w:hint="eastAsia"/>
                <w:sz w:val="28"/>
                <w:szCs w:val="28"/>
                <w:lang w:eastAsia="zh-CN"/>
              </w:rPr>
              <w:t>，</w:t>
            </w:r>
            <w:r>
              <w:rPr>
                <w:rFonts w:hint="eastAsia"/>
                <w:sz w:val="28"/>
                <w:szCs w:val="28"/>
              </w:rPr>
              <w:t>伦理审查决定文件。</w:t>
            </w:r>
          </w:p>
          <w:p w14:paraId="6219C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四</w:t>
            </w:r>
            <w:r>
              <w:rPr>
                <w:rFonts w:hint="eastAsia"/>
                <w:sz w:val="28"/>
                <w:szCs w:val="28"/>
              </w:rPr>
              <w:t>）</w:t>
            </w:r>
            <w:r>
              <w:rPr>
                <w:rFonts w:hint="eastAsia"/>
                <w:sz w:val="28"/>
                <w:szCs w:val="28"/>
                <w:lang w:eastAsia="zh-CN"/>
              </w:rPr>
              <w:t>附件</w:t>
            </w:r>
          </w:p>
          <w:p w14:paraId="3FEA1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560" w:firstLineChars="200"/>
              <w:jc w:val="both"/>
              <w:textAlignment w:val="auto"/>
              <w:outlineLvl w:val="9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1、</w:t>
            </w:r>
            <w:r>
              <w:rPr>
                <w:rFonts w:hint="eastAsia"/>
                <w:sz w:val="28"/>
                <w:szCs w:val="28"/>
              </w:rPr>
              <w:t>年度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/>
                <w:sz w:val="28"/>
                <w:szCs w:val="28"/>
              </w:rPr>
              <w:t>定期跟踪审查工作表</w:t>
            </w:r>
          </w:p>
          <w:p w14:paraId="53AB4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560" w:firstLineChars="200"/>
              <w:jc w:val="both"/>
              <w:textAlignment w:val="auto"/>
              <w:outlineLvl w:val="9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2、研究进展报告</w:t>
            </w:r>
          </w:p>
          <w:p w14:paraId="0B5D3F95">
            <w:pPr>
              <w:ind w:firstLine="560" w:firstLineChars="200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3、年度/定期跟踪审查送审文件清单</w:t>
            </w:r>
          </w:p>
          <w:p w14:paraId="7C73CB3A">
            <w:pPr>
              <w:ind w:firstLine="560" w:firstLineChars="200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4、轻度方案偏离列表</w:t>
            </w:r>
          </w:p>
        </w:tc>
      </w:tr>
    </w:tbl>
    <w:p w14:paraId="34153866">
      <w:pPr>
        <w:jc w:val="center"/>
        <w:rPr>
          <w:sz w:val="28"/>
          <w:szCs w:val="28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roman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F770EE">
    <w:pPr>
      <w:pStyle w:val="3"/>
    </w:pPr>
    <w:r>
      <w:pict>
        <v:shape id="_x0000_s3073" o:spid="_x0000_s3073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5A7555FF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rPr>
                    <w:sz w:val="18"/>
                  </w:rPr>
                  <w:t>5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08A68C">
    <w:pPr>
      <w:pStyle w:val="4"/>
      <w:jc w:val="center"/>
      <w:rPr>
        <w:b/>
        <w:bCs/>
        <w:sz w:val="21"/>
        <w:szCs w:val="21"/>
      </w:rPr>
    </w:pPr>
    <w:r>
      <w:rPr>
        <w:rFonts w:hint="eastAsia"/>
        <w:b/>
        <w:bCs/>
        <w:sz w:val="21"/>
        <w:szCs w:val="21"/>
      </w:rPr>
      <w:t>延安大学咸阳医院</w:t>
    </w:r>
    <w:r>
      <w:rPr>
        <w:rFonts w:hint="eastAsia"/>
        <w:b/>
        <w:bCs/>
        <w:sz w:val="21"/>
        <w:szCs w:val="21"/>
        <w:lang w:eastAsia="zh-CN"/>
      </w:rPr>
      <w:t>伦理</w:t>
    </w:r>
    <w:r>
      <w:rPr>
        <w:rFonts w:hint="eastAsia"/>
        <w:b/>
        <w:bCs/>
        <w:sz w:val="21"/>
        <w:szCs w:val="21"/>
        <w:lang w:val="en-US" w:eastAsia="zh-CN"/>
      </w:rPr>
      <w:t>审查</w:t>
    </w:r>
    <w:r>
      <w:rPr>
        <w:rFonts w:hint="eastAsia"/>
        <w:b/>
        <w:bCs/>
        <w:sz w:val="21"/>
        <w:szCs w:val="21"/>
        <w:lang w:eastAsia="zh-CN"/>
      </w:rPr>
      <w:t>委员会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A3MDc0YmQwMWRhZjI3Y2U3YTlhZjU4Nzk1ZWFlMDEifQ=="/>
  </w:docVars>
  <w:rsids>
    <w:rsidRoot w:val="00AA208C"/>
    <w:rsid w:val="00457522"/>
    <w:rsid w:val="005913B5"/>
    <w:rsid w:val="005D7D24"/>
    <w:rsid w:val="00674179"/>
    <w:rsid w:val="008C186F"/>
    <w:rsid w:val="00AA208C"/>
    <w:rsid w:val="00BB1D3B"/>
    <w:rsid w:val="00DB6B4C"/>
    <w:rsid w:val="00DD1695"/>
    <w:rsid w:val="055C6A62"/>
    <w:rsid w:val="05C82648"/>
    <w:rsid w:val="061D1AB0"/>
    <w:rsid w:val="06A81829"/>
    <w:rsid w:val="08740C18"/>
    <w:rsid w:val="09965738"/>
    <w:rsid w:val="0B6941B3"/>
    <w:rsid w:val="0C7804EA"/>
    <w:rsid w:val="0D687E03"/>
    <w:rsid w:val="0DD47DF6"/>
    <w:rsid w:val="0E87143D"/>
    <w:rsid w:val="0F51260D"/>
    <w:rsid w:val="0FD34601"/>
    <w:rsid w:val="103A753A"/>
    <w:rsid w:val="11424DA6"/>
    <w:rsid w:val="119D0D26"/>
    <w:rsid w:val="123E24E6"/>
    <w:rsid w:val="12C36287"/>
    <w:rsid w:val="13474D18"/>
    <w:rsid w:val="14BD61CB"/>
    <w:rsid w:val="14BF4551"/>
    <w:rsid w:val="164E3090"/>
    <w:rsid w:val="166A4785"/>
    <w:rsid w:val="16873D30"/>
    <w:rsid w:val="193064F3"/>
    <w:rsid w:val="19E659C7"/>
    <w:rsid w:val="1C477125"/>
    <w:rsid w:val="1ED8148B"/>
    <w:rsid w:val="1FC559D7"/>
    <w:rsid w:val="21DD4356"/>
    <w:rsid w:val="23F44867"/>
    <w:rsid w:val="24E728AB"/>
    <w:rsid w:val="268E2CAE"/>
    <w:rsid w:val="26933CB2"/>
    <w:rsid w:val="26EA179E"/>
    <w:rsid w:val="27D269D7"/>
    <w:rsid w:val="28F9552D"/>
    <w:rsid w:val="2928599B"/>
    <w:rsid w:val="298704CB"/>
    <w:rsid w:val="2A2E29E8"/>
    <w:rsid w:val="2C5F0370"/>
    <w:rsid w:val="2C6C2AA6"/>
    <w:rsid w:val="2CC61D4B"/>
    <w:rsid w:val="2D911F7E"/>
    <w:rsid w:val="2E4D27DA"/>
    <w:rsid w:val="307B21F1"/>
    <w:rsid w:val="328B1496"/>
    <w:rsid w:val="32C04F7D"/>
    <w:rsid w:val="33A86AFA"/>
    <w:rsid w:val="33F370DD"/>
    <w:rsid w:val="35535834"/>
    <w:rsid w:val="35A818A1"/>
    <w:rsid w:val="3B6908E2"/>
    <w:rsid w:val="3B6A3A3F"/>
    <w:rsid w:val="3BCF7545"/>
    <w:rsid w:val="3C3C2A9B"/>
    <w:rsid w:val="3E340269"/>
    <w:rsid w:val="3F9E4DD9"/>
    <w:rsid w:val="3FF63C05"/>
    <w:rsid w:val="40076D16"/>
    <w:rsid w:val="42A0489B"/>
    <w:rsid w:val="45372BC7"/>
    <w:rsid w:val="45C738E1"/>
    <w:rsid w:val="45EC3DD8"/>
    <w:rsid w:val="480C3982"/>
    <w:rsid w:val="4A771D9E"/>
    <w:rsid w:val="4A8A2942"/>
    <w:rsid w:val="4AE368E5"/>
    <w:rsid w:val="4BA566D3"/>
    <w:rsid w:val="4CD363D7"/>
    <w:rsid w:val="4E77724D"/>
    <w:rsid w:val="4FCD0FB1"/>
    <w:rsid w:val="508F56DF"/>
    <w:rsid w:val="53C0752F"/>
    <w:rsid w:val="54163B67"/>
    <w:rsid w:val="5492791F"/>
    <w:rsid w:val="567E36FF"/>
    <w:rsid w:val="58B23C1A"/>
    <w:rsid w:val="592011A5"/>
    <w:rsid w:val="59250986"/>
    <w:rsid w:val="5931743E"/>
    <w:rsid w:val="5A254312"/>
    <w:rsid w:val="5B0D2810"/>
    <w:rsid w:val="5B1A4D4B"/>
    <w:rsid w:val="5B81656C"/>
    <w:rsid w:val="5D3912F6"/>
    <w:rsid w:val="5E8424D1"/>
    <w:rsid w:val="5F264BDB"/>
    <w:rsid w:val="60DB6B5E"/>
    <w:rsid w:val="612135B8"/>
    <w:rsid w:val="61F70ABE"/>
    <w:rsid w:val="627E1CFD"/>
    <w:rsid w:val="62884524"/>
    <w:rsid w:val="62AF3292"/>
    <w:rsid w:val="6399385E"/>
    <w:rsid w:val="639A3068"/>
    <w:rsid w:val="63B349B2"/>
    <w:rsid w:val="64A64DBB"/>
    <w:rsid w:val="656C7075"/>
    <w:rsid w:val="65C00FAE"/>
    <w:rsid w:val="68ED172F"/>
    <w:rsid w:val="6DA73C10"/>
    <w:rsid w:val="746A51E0"/>
    <w:rsid w:val="74852670"/>
    <w:rsid w:val="76A05065"/>
    <w:rsid w:val="76D565E4"/>
    <w:rsid w:val="78D91232"/>
    <w:rsid w:val="79C26368"/>
    <w:rsid w:val="7D1B1583"/>
    <w:rsid w:val="7D683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8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NormalCharacter"/>
    <w:link w:val="1"/>
    <w:autoRedefine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4</Pages>
  <Words>1326</Words>
  <Characters>1377</Characters>
  <Lines>16</Lines>
  <Paragraphs>4</Paragraphs>
  <TotalTime>6</TotalTime>
  <ScaleCrop>false</ScaleCrop>
  <LinksUpToDate>false</LinksUpToDate>
  <CharactersWithSpaces>1392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Hao</cp:lastModifiedBy>
  <cp:lastPrinted>2026-09-03T10:07:46Z</cp:lastPrinted>
  <dcterms:modified xsi:type="dcterms:W3CDTF">2026-09-03T10:10:55Z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F7B264C3891B4191A6BEA23D46B60427_12</vt:lpwstr>
  </property>
  <property fmtid="{D5CDD505-2E9C-101B-9397-08002B2CF9AE}" pid="4" name="KSOTemplateDocerSaveRecord">
    <vt:lpwstr>eyJoZGlkIjoiYzA3MDc0YmQwMWRhZjI3Y2U3YTlhZjU4Nzk1ZWFlMDEiLCJ1c2VySWQiOiIxNTY5NzA5MzM0In0=</vt:lpwstr>
  </property>
</Properties>
</file>