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64CF8A">
      <w:pPr>
        <w:jc w:val="center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伦理</w:t>
      </w:r>
      <w:r>
        <w:rPr>
          <w:rFonts w:hint="eastAsia"/>
          <w:b/>
          <w:bCs/>
          <w:sz w:val="32"/>
          <w:szCs w:val="32"/>
          <w:lang w:val="en-US" w:eastAsia="zh-CN"/>
        </w:rPr>
        <w:t>审查</w:t>
      </w:r>
      <w:r>
        <w:rPr>
          <w:rFonts w:hint="eastAsia"/>
          <w:b/>
          <w:bCs/>
          <w:sz w:val="32"/>
          <w:szCs w:val="32"/>
        </w:rPr>
        <w:t>委员会章程及管理制度</w:t>
      </w:r>
    </w:p>
    <w:tbl>
      <w:tblPr>
        <w:tblStyle w:val="6"/>
        <w:tblpPr w:leftFromText="180" w:rightFromText="180" w:vertAnchor="page" w:horzAnchor="page" w:tblpX="1702" w:tblpY="2148"/>
        <w:tblOverlap w:val="never"/>
        <w:tblW w:w="8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1515"/>
        <w:gridCol w:w="1365"/>
        <w:gridCol w:w="1485"/>
        <w:gridCol w:w="1346"/>
        <w:gridCol w:w="1609"/>
      </w:tblGrid>
      <w:tr w14:paraId="773C9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05" w:type="dxa"/>
          </w:tcPr>
          <w:p w14:paraId="02B0F730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题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目</w:t>
            </w:r>
          </w:p>
        </w:tc>
        <w:tc>
          <w:tcPr>
            <w:tcW w:w="7320" w:type="dxa"/>
            <w:gridSpan w:val="5"/>
          </w:tcPr>
          <w:p w14:paraId="50D9E325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宋体" w:hAnsi="宋体" w:cs="宋体"/>
                <w:bCs/>
                <w:sz w:val="28"/>
                <w:szCs w:val="28"/>
              </w:rPr>
              <w:t>延安大学咸阳医院</w:t>
            </w:r>
            <w:r>
              <w:rPr>
                <w:rFonts w:hint="eastAsia" w:ascii="宋体" w:hAnsi="宋体" w:cs="宋体"/>
                <w:bCs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宋体" w:hAnsi="宋体" w:cs="宋体"/>
                <w:bCs/>
                <w:sz w:val="28"/>
                <w:szCs w:val="28"/>
              </w:rPr>
              <w:t>章程</w:t>
            </w:r>
          </w:p>
        </w:tc>
      </w:tr>
      <w:tr w14:paraId="27037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405" w:type="dxa"/>
            <w:vAlign w:val="top"/>
          </w:tcPr>
          <w:p w14:paraId="16CC383B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拟定人</w:t>
            </w:r>
          </w:p>
        </w:tc>
        <w:tc>
          <w:tcPr>
            <w:tcW w:w="1515" w:type="dxa"/>
            <w:vAlign w:val="top"/>
          </w:tcPr>
          <w:p w14:paraId="20B87C26">
            <w:pPr>
              <w:jc w:val="center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陈伊婷</w:t>
            </w:r>
          </w:p>
        </w:tc>
        <w:tc>
          <w:tcPr>
            <w:tcW w:w="1365" w:type="dxa"/>
            <w:vAlign w:val="top"/>
          </w:tcPr>
          <w:p w14:paraId="2D52B27F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审核人</w:t>
            </w:r>
          </w:p>
        </w:tc>
        <w:tc>
          <w:tcPr>
            <w:tcW w:w="1485" w:type="dxa"/>
            <w:vAlign w:val="top"/>
          </w:tcPr>
          <w:p w14:paraId="72B016AF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郭爱红</w:t>
            </w:r>
          </w:p>
        </w:tc>
        <w:tc>
          <w:tcPr>
            <w:tcW w:w="1346" w:type="dxa"/>
            <w:vAlign w:val="top"/>
          </w:tcPr>
          <w:p w14:paraId="7E4F363D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批准人</w:t>
            </w:r>
          </w:p>
        </w:tc>
        <w:tc>
          <w:tcPr>
            <w:tcW w:w="1609" w:type="dxa"/>
            <w:vAlign w:val="top"/>
          </w:tcPr>
          <w:p w14:paraId="76C65BB9">
            <w:pPr>
              <w:jc w:val="center"/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>张海涛</w:t>
            </w:r>
          </w:p>
        </w:tc>
      </w:tr>
      <w:tr w14:paraId="1286F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405" w:type="dxa"/>
            <w:vAlign w:val="top"/>
          </w:tcPr>
          <w:p w14:paraId="77B33712">
            <w:pPr>
              <w:jc w:val="center"/>
              <w:rPr>
                <w:rFonts w:hint="eastAsia" w:ascii="Times New Roman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  <w:lang w:val="en-US" w:eastAsia="zh-CN"/>
              </w:rPr>
              <w:t>拟定时间</w:t>
            </w:r>
          </w:p>
        </w:tc>
        <w:tc>
          <w:tcPr>
            <w:tcW w:w="1515" w:type="dxa"/>
            <w:shd w:val="clear" w:color="auto" w:fill="auto"/>
            <w:vAlign w:val="top"/>
          </w:tcPr>
          <w:p w14:paraId="702E98E1">
            <w:pPr>
              <w:jc w:val="center"/>
              <w:rPr>
                <w:rFonts w:hint="default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2026.8.3</w:t>
            </w:r>
          </w:p>
        </w:tc>
        <w:tc>
          <w:tcPr>
            <w:tcW w:w="1365" w:type="dxa"/>
            <w:shd w:val="clear" w:color="auto" w:fill="auto"/>
            <w:vAlign w:val="top"/>
          </w:tcPr>
          <w:p w14:paraId="4EFA42DB">
            <w:pPr>
              <w:jc w:val="center"/>
              <w:rPr>
                <w:rFonts w:hint="eastAsia" w:ascii="Times New Roman" w:eastAsia="宋体" w:hAnsiTheme="minorHAnsi" w:cstheme="minorBidi"/>
                <w:b/>
                <w:bCs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审核</w:t>
            </w: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时间</w:t>
            </w:r>
          </w:p>
        </w:tc>
        <w:tc>
          <w:tcPr>
            <w:tcW w:w="1485" w:type="dxa"/>
            <w:shd w:val="clear" w:color="auto" w:fill="auto"/>
            <w:vAlign w:val="top"/>
          </w:tcPr>
          <w:p w14:paraId="75EACFC2">
            <w:pPr>
              <w:jc w:val="center"/>
              <w:rPr>
                <w:rFonts w:hint="default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2026.8.13</w:t>
            </w:r>
          </w:p>
        </w:tc>
        <w:tc>
          <w:tcPr>
            <w:tcW w:w="1346" w:type="dxa"/>
            <w:shd w:val="clear" w:color="auto" w:fill="auto"/>
            <w:vAlign w:val="top"/>
          </w:tcPr>
          <w:p w14:paraId="42260F4A">
            <w:pPr>
              <w:jc w:val="center"/>
              <w:rPr>
                <w:rFonts w:hint="eastAsia" w:ascii="Times New Roman" w:eastAsia="宋体" w:hAnsiTheme="minorHAnsi" w:cstheme="minorBidi"/>
                <w:b/>
                <w:bCs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批准</w:t>
            </w: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时间</w:t>
            </w:r>
          </w:p>
        </w:tc>
        <w:tc>
          <w:tcPr>
            <w:tcW w:w="1609" w:type="dxa"/>
            <w:shd w:val="clear" w:color="auto" w:fill="auto"/>
            <w:vAlign w:val="top"/>
          </w:tcPr>
          <w:p w14:paraId="04760024">
            <w:pPr>
              <w:jc w:val="center"/>
              <w:rPr>
                <w:rFonts w:hint="default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2026.8.24</w:t>
            </w:r>
          </w:p>
        </w:tc>
      </w:tr>
      <w:tr w14:paraId="6FABB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405" w:type="dxa"/>
            <w:vAlign w:val="top"/>
          </w:tcPr>
          <w:p w14:paraId="1E568B90">
            <w:pPr>
              <w:jc w:val="center"/>
              <w:rPr>
                <w:rFonts w:hint="eastAsia" w:ascii="Times New Roman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编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2880" w:type="dxa"/>
            <w:gridSpan w:val="2"/>
            <w:vAlign w:val="top"/>
          </w:tcPr>
          <w:p w14:paraId="1FBDE0A4">
            <w:pPr>
              <w:jc w:val="center"/>
              <w:rPr>
                <w:rFonts w:hint="default" w:ascii="Times New Roman" w:eastAsia="宋体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 Light"/>
                <w:sz w:val="28"/>
                <w:szCs w:val="28"/>
              </w:rPr>
              <w:t>YDXY-EC-ZD-001-</w:t>
            </w:r>
            <w:r>
              <w:rPr>
                <w:rFonts w:hint="eastAsia" w:ascii="Calibri Light"/>
                <w:sz w:val="28"/>
                <w:szCs w:val="28"/>
                <w:lang w:val="en-US" w:eastAsia="zh-CN"/>
              </w:rPr>
              <w:t>4.0</w:t>
            </w:r>
          </w:p>
        </w:tc>
        <w:tc>
          <w:tcPr>
            <w:tcW w:w="1485" w:type="dxa"/>
            <w:vAlign w:val="top"/>
          </w:tcPr>
          <w:p w14:paraId="34E6DEC0">
            <w:pPr>
              <w:jc w:val="center"/>
              <w:rPr>
                <w:rFonts w:hint="eastAsia" w:ascii="Times New Roman" w:eastAsia="宋体"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生效日期</w:t>
            </w:r>
          </w:p>
        </w:tc>
        <w:tc>
          <w:tcPr>
            <w:tcW w:w="2955" w:type="dxa"/>
            <w:gridSpan w:val="2"/>
            <w:vAlign w:val="top"/>
          </w:tcPr>
          <w:p w14:paraId="2FB7809D">
            <w:pPr>
              <w:jc w:val="center"/>
              <w:rPr>
                <w:rFonts w:hint="default" w:asci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  <w:t>2026.9.1</w:t>
            </w:r>
          </w:p>
        </w:tc>
      </w:tr>
      <w:tr w14:paraId="72EE3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</w:trPr>
        <w:tc>
          <w:tcPr>
            <w:tcW w:w="1405" w:type="dxa"/>
          </w:tcPr>
          <w:p w14:paraId="255122A0">
            <w:pPr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内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容</w:t>
            </w:r>
          </w:p>
          <w:p w14:paraId="51BDF3E2">
            <w:pPr>
              <w:rPr>
                <w:rFonts w:ascii="Times New Roman" w:hAnsi="Times New Roman" w:eastAsia="宋体"/>
              </w:rPr>
            </w:pPr>
          </w:p>
          <w:p w14:paraId="71160AAA">
            <w:pPr>
              <w:rPr>
                <w:rFonts w:ascii="Times New Roman" w:hAnsi="Times New Roman" w:eastAsia="宋体"/>
              </w:rPr>
            </w:pPr>
          </w:p>
          <w:p w14:paraId="6A3B8465">
            <w:pPr>
              <w:rPr>
                <w:rFonts w:ascii="Times New Roman" w:hAnsi="Times New Roman" w:eastAsia="宋体"/>
              </w:rPr>
            </w:pPr>
          </w:p>
          <w:p w14:paraId="44E9CB0E">
            <w:pPr>
              <w:rPr>
                <w:rFonts w:ascii="Times New Roman" w:hAnsi="Times New Roman" w:eastAsia="宋体"/>
              </w:rPr>
            </w:pPr>
          </w:p>
          <w:p w14:paraId="432F3C30">
            <w:pPr>
              <w:rPr>
                <w:rFonts w:ascii="Times New Roman" w:hAnsi="Times New Roman" w:eastAsia="宋体"/>
              </w:rPr>
            </w:pPr>
          </w:p>
          <w:p w14:paraId="3B5B74C4">
            <w:pPr>
              <w:rPr>
                <w:rFonts w:ascii="Times New Roman" w:hAnsi="Times New Roman" w:eastAsia="宋体"/>
              </w:rPr>
            </w:pPr>
          </w:p>
          <w:p w14:paraId="4187A32F">
            <w:pPr>
              <w:rPr>
                <w:rFonts w:ascii="Times New Roman" w:hAnsi="Times New Roman" w:eastAsia="宋体"/>
              </w:rPr>
            </w:pPr>
          </w:p>
          <w:p w14:paraId="3E6D8469">
            <w:pPr>
              <w:rPr>
                <w:rFonts w:ascii="Times New Roman" w:hAnsi="Times New Roman" w:eastAsia="宋体"/>
              </w:rPr>
            </w:pPr>
          </w:p>
          <w:p w14:paraId="21E73FA7">
            <w:pPr>
              <w:rPr>
                <w:rFonts w:ascii="Times New Roman" w:hAnsi="Times New Roman" w:eastAsia="宋体"/>
              </w:rPr>
            </w:pPr>
          </w:p>
          <w:p w14:paraId="3712370F">
            <w:pPr>
              <w:rPr>
                <w:rFonts w:ascii="Times New Roman" w:hAnsi="Times New Roman" w:eastAsia="宋体"/>
              </w:rPr>
            </w:pPr>
          </w:p>
          <w:p w14:paraId="25EBD4DA">
            <w:pPr>
              <w:rPr>
                <w:rFonts w:ascii="Times New Roman" w:hAnsi="Times New Roman" w:eastAsia="宋体"/>
              </w:rPr>
            </w:pPr>
          </w:p>
          <w:p w14:paraId="17E93BD2">
            <w:pPr>
              <w:rPr>
                <w:rFonts w:ascii="Times New Roman" w:hAnsi="Times New Roman" w:eastAsia="宋体"/>
              </w:rPr>
            </w:pPr>
          </w:p>
          <w:p w14:paraId="236F0910">
            <w:pPr>
              <w:rPr>
                <w:rFonts w:ascii="Times New Roman" w:hAnsi="Times New Roman" w:eastAsia="宋体"/>
              </w:rPr>
            </w:pPr>
          </w:p>
          <w:p w14:paraId="52FE0A8B">
            <w:pPr>
              <w:rPr>
                <w:rFonts w:ascii="Times New Roman" w:hAnsi="Times New Roman" w:eastAsia="宋体"/>
              </w:rPr>
            </w:pPr>
          </w:p>
          <w:p w14:paraId="0DE02966">
            <w:pPr>
              <w:rPr>
                <w:rFonts w:ascii="Times New Roman" w:hAnsi="Times New Roman" w:eastAsia="宋体"/>
              </w:rPr>
            </w:pPr>
          </w:p>
          <w:p w14:paraId="0BCBD92E">
            <w:pPr>
              <w:rPr>
                <w:rFonts w:ascii="Times New Roman" w:hAnsi="Times New Roman" w:eastAsia="宋体"/>
              </w:rPr>
            </w:pPr>
          </w:p>
          <w:p w14:paraId="442CCFE0">
            <w:pPr>
              <w:rPr>
                <w:rFonts w:ascii="Times New Roman" w:hAnsi="Times New Roman" w:eastAsia="宋体"/>
              </w:rPr>
            </w:pPr>
          </w:p>
          <w:p w14:paraId="6E088CEF">
            <w:pPr>
              <w:rPr>
                <w:rFonts w:ascii="Times New Roman" w:hAnsi="Times New Roman" w:eastAsia="宋体"/>
              </w:rPr>
            </w:pPr>
          </w:p>
          <w:p w14:paraId="0EB78225">
            <w:pPr>
              <w:rPr>
                <w:rFonts w:ascii="Times New Roman" w:hAnsi="Times New Roman" w:eastAsia="宋体"/>
              </w:rPr>
            </w:pPr>
          </w:p>
          <w:p w14:paraId="78085B20">
            <w:pPr>
              <w:rPr>
                <w:rFonts w:ascii="Times New Roman" w:hAnsi="Times New Roman" w:eastAsia="宋体"/>
              </w:rPr>
            </w:pPr>
          </w:p>
          <w:p w14:paraId="3ABE3F6F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7320" w:type="dxa"/>
            <w:gridSpan w:val="5"/>
          </w:tcPr>
          <w:p w14:paraId="28D28F75">
            <w:pPr>
              <w:spacing w:line="480" w:lineRule="auto"/>
              <w:ind w:firstLine="562" w:firstLineChars="200"/>
              <w:jc w:val="both"/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              </w:t>
            </w:r>
            <w:r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  <w:lang w:eastAsia="zh-CN"/>
              </w:rPr>
              <w:t>第一章</w:t>
            </w:r>
            <w:r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  <w:lang w:val="en-US" w:eastAsia="zh-CN"/>
              </w:rPr>
              <w:t xml:space="preserve">  总则</w:t>
            </w:r>
          </w:p>
          <w:p w14:paraId="4FE774E7">
            <w:pPr>
              <w:spacing w:line="480" w:lineRule="auto"/>
              <w:ind w:firstLine="560" w:firstLineChars="200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第一条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为保护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本院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临床研究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研究参与者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的权益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安全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和福祉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，规范本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的组织和运作，根据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《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赫尔辛基宣言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》、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《涉及人的生物医学研究伦理审查办法》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、《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涉及人的生命科学和医学研究伦理审查办法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》、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《药物临床试验质量管理规范》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、《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医疗器械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临床试验质量管理规范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》、《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医疗卫生机构开展研究者发起的临床研究管理办法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》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等相关法律法规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制定本章程。</w:t>
            </w:r>
          </w:p>
          <w:p w14:paraId="76DBADA1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第二条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的宗旨是通过对临床研究项目的科学性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伦理性进行审查，确保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研究参与者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的尊严、安全和权益得到保护，促进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临床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研究达到科学和伦理的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要求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，增强公众对临床研究的信任和支持。</w:t>
            </w:r>
          </w:p>
          <w:p w14:paraId="7D3D9F5F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第三条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依法在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咸阳市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卫生健康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委员会和医学研究登记备案信息系统进行了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备案，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并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接受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上级主管部门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的指导和监督。</w:t>
            </w:r>
          </w:p>
          <w:p w14:paraId="65123BBC">
            <w:pPr>
              <w:spacing w:line="480" w:lineRule="auto"/>
              <w:jc w:val="center"/>
              <w:rPr>
                <w:rFonts w:ascii="Times New Roman" w:hAnsi="Times New Roman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</w:rPr>
              <w:t>第二章</w:t>
            </w:r>
            <w:r>
              <w:rPr>
                <w:rFonts w:ascii="Times New Roman" w:hAnsi="Times New Roman" w:eastAsia="宋体" w:cs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</w:rPr>
              <w:t>组织</w:t>
            </w:r>
          </w:p>
          <w:p w14:paraId="613001CB">
            <w:pPr>
              <w:spacing w:line="480" w:lineRule="auto"/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第四条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名称：延安大学咸阳医院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伦理审查委员会。</w:t>
            </w:r>
          </w:p>
          <w:p w14:paraId="21234C37">
            <w:pPr>
              <w:spacing w:line="480" w:lineRule="auto"/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第五条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地址：陕西省渭城区文林路中段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3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>8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号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。</w:t>
            </w:r>
          </w:p>
          <w:p w14:paraId="627083AB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第六条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组织架构：延安大学咸阳医院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。医院根据伦理审查的范围，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构建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的组织架构。</w:t>
            </w:r>
          </w:p>
          <w:p w14:paraId="27F72DBE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第七条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职责：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对本单位承担的以及在本单位内实施的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生命科学和医学研究项目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进行独立、称职和及时的审查。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秘书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负责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日常行政事务的管理工作。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</w:p>
          <w:p w14:paraId="12B594DC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第八条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权力：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必须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保证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运行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的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独立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性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，并避免任何不适当影响。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有权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／不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一项临床研究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的开展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，对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的临床研究进行跟踪审查，暂停或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者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终止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已批准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的临床研究。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</w:p>
          <w:p w14:paraId="76CAF977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第九条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行政资源：医院为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提供独立的办公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场所和资料室，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有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可以使用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的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会议室，以满足其职能的需求。医院任命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秘书，以满足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的工作需求。医院为委员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秘书提供充分的培训，使其能够胜任工作。</w:t>
            </w:r>
          </w:p>
          <w:p w14:paraId="2976F227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第十条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财政资源：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的经费使用按照医院财务管理规定执行，可应要求公开支付给委员的劳务补偿。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</w:p>
          <w:p w14:paraId="129695F7">
            <w:pPr>
              <w:numPr>
                <w:ilvl w:val="0"/>
                <w:numId w:val="1"/>
              </w:numPr>
              <w:spacing w:line="480" w:lineRule="auto"/>
              <w:jc w:val="center"/>
              <w:rPr>
                <w:rFonts w:ascii="Times New Roman" w:hAnsi="Times New Roman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</w:rPr>
              <w:t>组建与换届</w:t>
            </w:r>
          </w:p>
          <w:p w14:paraId="04B26263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第十一条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委员组成：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的委员类别包括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生命科学、医学、生命伦理学、法学等领域的专家和非本机构的社会人士，并且应当有不同性别的委员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。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GCP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机构主任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机构副主任、机构办公室主任以及本院科研管理部门负责人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不兼任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主任委员和副主任委员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。</w:t>
            </w:r>
          </w:p>
          <w:p w14:paraId="5DEEB571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第十二条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委员的招募／推荐：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采用公开招募的方式，结合有关各方的推荐并征询本人意见，形成委员候选人名单。应聘者应能保证参加培训，保证有足够的时间和精力参加审查工作。</w:t>
            </w:r>
          </w:p>
          <w:p w14:paraId="3FC04718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第十三条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任命的机构与程序：医院院务委员会负责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委员的任命事项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，伦理审查委员会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委员候选人员名单提交院务委员会讨论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决定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。</w:t>
            </w:r>
          </w:p>
          <w:p w14:paraId="14427B00">
            <w:pPr>
              <w:spacing w:line="480" w:lineRule="auto"/>
              <w:ind w:firstLine="560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接受任命的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委员应参加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临床研究和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伦理审查的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专项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培训和继续教育；提交本人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个人简历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临床研究培训证明（如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>GCP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证书）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与伦理审查培训证书，利益冲突声明，保密承诺，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委员申明，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并同意公开自己的姓名、职业和隶属机构，同意公开与参加伦理审查工作相关的交通、劳务等补偿。</w:t>
            </w:r>
          </w:p>
          <w:p w14:paraId="04A9A382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第十四条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主任委员：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设主任委员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名，副主任委员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名。主任委员和副主任委员由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伦理审查委员会委员协商推举或者选举产生，选举需要超过全体委员的半数以上同意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，由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医院院务委员会任命。主任委员负责主持审查会议，审签会议记录，审签决定文件。主任委员与其他委员之间不是管理与被管理的关系。主任委员因故不能履行职责时，可以委托副主任委员履行主任委员全部或部分职责。</w:t>
            </w:r>
          </w:p>
          <w:p w14:paraId="73B3E213">
            <w:pPr>
              <w:spacing w:line="480" w:lineRule="auto"/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第十五条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任期：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每届任期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年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，可连任，最长任期无限制。</w:t>
            </w:r>
          </w:p>
          <w:p w14:paraId="5BD430A5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第十六条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换届：换届应考虑审查能力的发展，以及委员的专业类别。医药专业背景的新委员不少于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>1/2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；应有部分委员留任，以保证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工作的连续性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。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换届候选委员采用公开招募、有关各方和委员推荐的方式产生，医院院务委员会任命。</w:t>
            </w:r>
          </w:p>
          <w:p w14:paraId="21B75503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第十七条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免职：以下情况可以免去委员资格：本人书面申请辞去委员职务者；因健康或工作调离等原因，不能继续履行委员职责者；因道德行为规范与委员职责相违背（如与审查项目存在利益冲突而不主动声明），不适宜继续担任委员者。</w:t>
            </w:r>
          </w:p>
          <w:p w14:paraId="25F64709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免职程序：免职由院务委员会讨论决定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免职决定以医院正式文件的方式公布。</w:t>
            </w:r>
          </w:p>
          <w:p w14:paraId="52DA2682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第十八条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替换：因委员辞职或免职，可以启动委员替换程序。根据资质、专业相当的原则招募／推荐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新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委员；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新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委员由院务委员会讨论决定，同意票应超过法定人数的半数。当选的委员以医院正式文件的方式任命。</w:t>
            </w:r>
          </w:p>
          <w:p w14:paraId="4AE22C07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第十九条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独立顾问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：如果委员专业知识不能胜任某临床研究项目的审查，或某临床研究项目的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研究参与者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与委员的社会与文化背景明显不同时，可以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在咨询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独立顾问。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咨询独立顾问可以按照程序邀请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独立顾问可以对研究项目的某方面问题提供咨询意见，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但不具有表决权。</w:t>
            </w:r>
          </w:p>
          <w:p w14:paraId="677825C2">
            <w:pPr>
              <w:numPr>
                <w:ilvl w:val="0"/>
                <w:numId w:val="2"/>
              </w:numPr>
              <w:spacing w:line="480" w:lineRule="auto"/>
              <w:jc w:val="center"/>
              <w:rPr>
                <w:rFonts w:ascii="Times New Roman" w:hAnsi="Times New Roman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</w:rPr>
              <w:t>运</w:t>
            </w:r>
            <w:r>
              <w:rPr>
                <w:rFonts w:hint="eastAsia" w:ascii="Times New Roman" w:hAnsi="Times New Roman" w:eastAsia="宋体" w:cs="宋体"/>
                <w:b/>
                <w:bCs/>
                <w:sz w:val="28"/>
                <w:szCs w:val="28"/>
                <w:lang w:val="en-US" w:eastAsia="zh-CN"/>
              </w:rPr>
              <w:t>行</w:t>
            </w:r>
          </w:p>
          <w:p w14:paraId="11E751AB">
            <w:pPr>
              <w:spacing w:line="240" w:lineRule="auto"/>
              <w:ind w:firstLine="560"/>
              <w:rPr>
                <w:rFonts w:hint="default" w:ascii="Times New Roman" w:hAnsi="Times New Roman" w:cs="宋体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第二十条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审查方式：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的审查方式有会议审查，紧急会议审查，快速审查。实行主审制，为每个审查项目安排主审委员，填写审查工作表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具体审查方式按照各类别审查标准操作规程执行。</w:t>
            </w:r>
          </w:p>
          <w:p w14:paraId="3224F727">
            <w:pPr>
              <w:spacing w:line="480" w:lineRule="auto"/>
              <w:ind w:firstLine="560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第二十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一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法定人数：到会委员人数应超过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全体委员的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半数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；到会委员应包括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医药专业、非医药专业的委员、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非本机构的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委员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，并有不同性别的委员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有利益冲突退出审查会议决定的委员不计入法定人数。</w:t>
            </w:r>
          </w:p>
          <w:p w14:paraId="4BC117ED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第二十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审查决定：送审文件齐全，申请人、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独立顾问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以及与研究项目存在利益冲突的委员离场，投票委员符合法定人数，按审查要素和审查要点进行充分的审查讨论后，以投票的方式做出决定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没有参与会议讨论的委员不能投票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以超过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全体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委员半数票的意见作为审查决定。会后及时（不超过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>5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个工作日）传达审查决定或意见。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主要研究者（项目/课题负责人）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、或研究利益相关方对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的审查决定有不同意见，可以提交复审，与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委员和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秘书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沟通交流。</w:t>
            </w:r>
          </w:p>
          <w:p w14:paraId="07B21507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第二十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利益冲突管理：遵循利益冲突政策，与研究项目存在利益冲突的委员／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独立顾问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应主动声明并退出该项目审查的讨论和决定程序。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应审查研究人员与研究项目之间的利益冲突，必要时采取限制性措施。</w:t>
            </w:r>
          </w:p>
          <w:p w14:paraId="74F31C4F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第二十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保密：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委员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、独立顾问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对送审项目的文件负有保密责任和义务，不得私自外传送审文件与审查材料。</w:t>
            </w:r>
          </w:p>
          <w:p w14:paraId="7940F0B8">
            <w:pPr>
              <w:spacing w:line="480" w:lineRule="auto"/>
              <w:rPr>
                <w:rFonts w:ascii="Times New Roman" w:hAnsi="Times New Roman" w:eastAsia="宋体" w:cs="宋体"/>
                <w:sz w:val="28"/>
                <w:szCs w:val="28"/>
              </w:rPr>
            </w:pP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第二十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五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质量管理：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接受卫生行政部门、药品监督管理部门的监督管理；接受独立的、外部的质量评估或认证。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对检查发现的问题采取相应的改进措施。</w:t>
            </w:r>
          </w:p>
          <w:p w14:paraId="7A4FD56E">
            <w:pPr>
              <w:ind w:firstLine="560" w:firstLineChars="200"/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第二十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val="en-US" w:eastAsia="zh-CN"/>
              </w:rPr>
              <w:t>六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条</w:t>
            </w:r>
            <w:r>
              <w:rPr>
                <w:rFonts w:ascii="Times New Roman" w:hAnsi="Times New Roman" w:eastAsia="宋体" w:cs="宋体"/>
                <w:sz w:val="28"/>
                <w:szCs w:val="28"/>
              </w:rPr>
              <w:t xml:space="preserve"> 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监督管理：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ascii="Times New Roman" w:hAnsi="Times New Roman" w:eastAsia="宋体" w:cs="宋体"/>
                <w:sz w:val="28"/>
                <w:szCs w:val="28"/>
              </w:rPr>
              <w:t>向医院报告年度伦理审查工作情况。</w:t>
            </w:r>
            <w:r>
              <w:rPr>
                <w:rFonts w:hint="eastAsia" w:ascii="Times New Roman" w:hAnsi="Times New Roman" w:eastAsia="宋体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  <w:t xml:space="preserve"> </w:t>
            </w:r>
          </w:p>
          <w:p w14:paraId="3DDBFEF1">
            <w:pPr>
              <w:ind w:firstLine="560" w:firstLineChars="200"/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</w:pPr>
          </w:p>
          <w:p w14:paraId="390B7D64">
            <w:pPr>
              <w:ind w:firstLine="0" w:firstLineChars="0"/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</w:pPr>
          </w:p>
          <w:p w14:paraId="3F24B4F8">
            <w:pPr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</w:pPr>
          </w:p>
        </w:tc>
      </w:tr>
    </w:tbl>
    <w:p w14:paraId="23A54F2A">
      <w:pPr>
        <w:jc w:val="center"/>
        <w:rPr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FFA775">
    <w:pPr>
      <w:pStyle w:val="3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06461C65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5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F88CED">
    <w:pPr>
      <w:pStyle w:val="4"/>
      <w:jc w:val="center"/>
      <w:rPr>
        <w:b/>
        <w:bCs/>
        <w:sz w:val="21"/>
        <w:szCs w:val="21"/>
      </w:rPr>
    </w:pPr>
    <w:r>
      <w:rPr>
        <w:rFonts w:hint="eastAsia"/>
        <w:b/>
        <w:bCs/>
        <w:sz w:val="21"/>
        <w:szCs w:val="21"/>
      </w:rPr>
      <w:t>延安大学咸阳医院</w:t>
    </w:r>
    <w:r>
      <w:rPr>
        <w:rFonts w:hint="eastAsia"/>
        <w:b/>
        <w:bCs/>
        <w:sz w:val="21"/>
        <w:szCs w:val="21"/>
        <w:lang w:eastAsia="zh-CN"/>
      </w:rPr>
      <w:t>伦理审查委员会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44C6C1"/>
    <w:multiLevelType w:val="singleLevel"/>
    <w:tmpl w:val="5844C6C1"/>
    <w:lvl w:ilvl="0" w:tentative="0">
      <w:start w:val="3"/>
      <w:numFmt w:val="chineseCounting"/>
      <w:suff w:val="space"/>
      <w:lvlText w:val="第%1章"/>
      <w:lvlJc w:val="left"/>
      <w:rPr>
        <w:rFonts w:cs="Times New Roman"/>
      </w:rPr>
    </w:lvl>
  </w:abstractNum>
  <w:abstractNum w:abstractNumId="1">
    <w:nsid w:val="5844CFEC"/>
    <w:multiLevelType w:val="singleLevel"/>
    <w:tmpl w:val="5844CFEC"/>
    <w:lvl w:ilvl="0" w:tentative="0">
      <w:start w:val="4"/>
      <w:numFmt w:val="chineseCounting"/>
      <w:suff w:val="space"/>
      <w:lvlText w:val="第%1章"/>
      <w:lvlJc w:val="left"/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A3MDc0YmQwMWRhZjI3Y2U3YTlhZjU4Nzk1ZWFlMDEifQ=="/>
  </w:docVars>
  <w:rsids>
    <w:rsidRoot w:val="00AA208C"/>
    <w:rsid w:val="00457522"/>
    <w:rsid w:val="005913B5"/>
    <w:rsid w:val="005D7D24"/>
    <w:rsid w:val="00674179"/>
    <w:rsid w:val="008C186F"/>
    <w:rsid w:val="00AA208C"/>
    <w:rsid w:val="00BB1D3B"/>
    <w:rsid w:val="00CA0705"/>
    <w:rsid w:val="00DB6B4C"/>
    <w:rsid w:val="00DD1695"/>
    <w:rsid w:val="061D1AB0"/>
    <w:rsid w:val="07AA3C1B"/>
    <w:rsid w:val="0A8B009A"/>
    <w:rsid w:val="0B6941B3"/>
    <w:rsid w:val="0DA62D5B"/>
    <w:rsid w:val="0DD47DF6"/>
    <w:rsid w:val="10B15855"/>
    <w:rsid w:val="119D0D26"/>
    <w:rsid w:val="149D0DB2"/>
    <w:rsid w:val="14BD61CB"/>
    <w:rsid w:val="166A4785"/>
    <w:rsid w:val="16D41D03"/>
    <w:rsid w:val="1CDC52A9"/>
    <w:rsid w:val="1F9A5EC9"/>
    <w:rsid w:val="1FC559D7"/>
    <w:rsid w:val="21DD4356"/>
    <w:rsid w:val="23420039"/>
    <w:rsid w:val="27987F08"/>
    <w:rsid w:val="28F9552D"/>
    <w:rsid w:val="2928599B"/>
    <w:rsid w:val="2BD607DB"/>
    <w:rsid w:val="2C5F0370"/>
    <w:rsid w:val="2C6C2AA6"/>
    <w:rsid w:val="2CC413E2"/>
    <w:rsid w:val="2D39281E"/>
    <w:rsid w:val="2E4D27DA"/>
    <w:rsid w:val="300C114D"/>
    <w:rsid w:val="30133AC5"/>
    <w:rsid w:val="306643AC"/>
    <w:rsid w:val="31C12718"/>
    <w:rsid w:val="32570691"/>
    <w:rsid w:val="35535834"/>
    <w:rsid w:val="367B1B20"/>
    <w:rsid w:val="376442CE"/>
    <w:rsid w:val="3864580A"/>
    <w:rsid w:val="388E39D4"/>
    <w:rsid w:val="39993148"/>
    <w:rsid w:val="3A066884"/>
    <w:rsid w:val="3AA363CF"/>
    <w:rsid w:val="3F296DEC"/>
    <w:rsid w:val="3F6758EF"/>
    <w:rsid w:val="3F9E4DD9"/>
    <w:rsid w:val="3FF63C05"/>
    <w:rsid w:val="4207548E"/>
    <w:rsid w:val="42990E69"/>
    <w:rsid w:val="42A0489B"/>
    <w:rsid w:val="44765721"/>
    <w:rsid w:val="447D7569"/>
    <w:rsid w:val="45115772"/>
    <w:rsid w:val="45372BC7"/>
    <w:rsid w:val="45660EB7"/>
    <w:rsid w:val="459D59C0"/>
    <w:rsid w:val="47B565D1"/>
    <w:rsid w:val="47BA542A"/>
    <w:rsid w:val="4913233D"/>
    <w:rsid w:val="4AE368E5"/>
    <w:rsid w:val="4BA566D3"/>
    <w:rsid w:val="4E293F10"/>
    <w:rsid w:val="4E3B49EE"/>
    <w:rsid w:val="4FAF7B54"/>
    <w:rsid w:val="50485D02"/>
    <w:rsid w:val="50B57CB8"/>
    <w:rsid w:val="5492791F"/>
    <w:rsid w:val="552539DF"/>
    <w:rsid w:val="58B23C1A"/>
    <w:rsid w:val="5B0D2810"/>
    <w:rsid w:val="5C563A7C"/>
    <w:rsid w:val="5C656BE0"/>
    <w:rsid w:val="62AF3292"/>
    <w:rsid w:val="63297DB9"/>
    <w:rsid w:val="63B349B2"/>
    <w:rsid w:val="641073CD"/>
    <w:rsid w:val="65C00FAE"/>
    <w:rsid w:val="65C16397"/>
    <w:rsid w:val="66714129"/>
    <w:rsid w:val="66A50561"/>
    <w:rsid w:val="67AB48BF"/>
    <w:rsid w:val="6A306A00"/>
    <w:rsid w:val="6B7D1EBE"/>
    <w:rsid w:val="6C533F4A"/>
    <w:rsid w:val="6D871761"/>
    <w:rsid w:val="72747B8E"/>
    <w:rsid w:val="72956B6A"/>
    <w:rsid w:val="73E10887"/>
    <w:rsid w:val="744B62FC"/>
    <w:rsid w:val="746A51E0"/>
    <w:rsid w:val="74852670"/>
    <w:rsid w:val="76D565E4"/>
    <w:rsid w:val="78055582"/>
    <w:rsid w:val="78B57C5F"/>
    <w:rsid w:val="7BCB79BE"/>
    <w:rsid w:val="7CD02A8A"/>
    <w:rsid w:val="7D9D5039"/>
    <w:rsid w:val="7E6E0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5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6</Pages>
  <Words>2589</Words>
  <Characters>2643</Characters>
  <Lines>16</Lines>
  <Paragraphs>4</Paragraphs>
  <TotalTime>0</TotalTime>
  <ScaleCrop>false</ScaleCrop>
  <LinksUpToDate>false</LinksUpToDate>
  <CharactersWithSpaces>2794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Hao</cp:lastModifiedBy>
  <cp:lastPrinted>2025-07-02T00:13:00Z</cp:lastPrinted>
  <dcterms:modified xsi:type="dcterms:W3CDTF">2026-09-01T00:53:05Z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7AD34E19D3724337BF3373F114A29556_12</vt:lpwstr>
  </property>
  <property fmtid="{D5CDD505-2E9C-101B-9397-08002B2CF9AE}" pid="4" name="KSOTemplateDocerSaveRecord">
    <vt:lpwstr>eyJoZGlkIjoiYzA3MDc0YmQwMWRhZjI3Y2U3YTlhZjU4Nzk1ZWFlMDEiLCJ1c2VySWQiOiIxNTY5NzA5MzM0In0=</vt:lpwstr>
  </property>
</Properties>
</file>