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2D25E">
      <w:pPr>
        <w:jc w:val="center"/>
        <w:rPr>
          <w:b/>
          <w:bCs/>
          <w:color w:val="auto"/>
          <w:sz w:val="32"/>
          <w:szCs w:val="32"/>
          <w:u w:val="none"/>
          <w:lang w:val="en-US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</w:t>
      </w:r>
      <w:r>
        <w:rPr>
          <w:rFonts w:hint="eastAsia"/>
          <w:b/>
          <w:bCs/>
          <w:sz w:val="32"/>
          <w:szCs w:val="32"/>
          <w:lang w:eastAsia="zh-CN"/>
        </w:rPr>
        <w:t>标准操作规程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4699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213190EA">
            <w:pPr>
              <w:jc w:val="center"/>
              <w:rPr>
                <w:rFonts w:ascii="Times New Roman" w:hAnsi="Times New Roman" w:eastAsia="宋体"/>
                <w:color w:val="auto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8"/>
                <w:szCs w:val="28"/>
                <w:u w:val="none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目</w:t>
            </w:r>
          </w:p>
        </w:tc>
        <w:tc>
          <w:tcPr>
            <w:tcW w:w="7320" w:type="dxa"/>
            <w:gridSpan w:val="5"/>
          </w:tcPr>
          <w:p w14:paraId="6F96DB9C">
            <w:pPr>
              <w:jc w:val="center"/>
              <w:rPr>
                <w:rFonts w:ascii="Times New Roman" w:hAnsi="Times New Roman" w:eastAsia="宋体"/>
                <w:color w:val="auto"/>
                <w:u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sz w:val="28"/>
                <w:szCs w:val="28"/>
                <w:u w:val="none"/>
              </w:rPr>
              <w:t>初始审查的标准操作规</w:t>
            </w:r>
            <w:r>
              <w:rPr>
                <w:rFonts w:hint="eastAsia" w:asciiTheme="majorEastAsia" w:hAnsiTheme="majorEastAsia" w:eastAsiaTheme="majorEastAsia"/>
                <w:color w:val="auto"/>
                <w:sz w:val="28"/>
                <w:szCs w:val="28"/>
                <w:u w:val="none"/>
              </w:rPr>
              <w:t>程</w:t>
            </w:r>
          </w:p>
        </w:tc>
      </w:tr>
      <w:tr w14:paraId="3821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5D2D9DBA">
            <w:pPr>
              <w:jc w:val="center"/>
              <w:rPr>
                <w:rFonts w:ascii="Times New Roman" w:hAnsi="Times New Roman" w:eastAsia="宋体"/>
                <w:color w:val="auto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拟定人</w:t>
            </w:r>
          </w:p>
        </w:tc>
        <w:tc>
          <w:tcPr>
            <w:tcW w:w="1515" w:type="dxa"/>
            <w:vAlign w:val="top"/>
          </w:tcPr>
          <w:p w14:paraId="30AE6383">
            <w:pPr>
              <w:jc w:val="center"/>
              <w:rPr>
                <w:rFonts w:hint="default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15C2F520">
            <w:pPr>
              <w:jc w:val="center"/>
              <w:rPr>
                <w:rFonts w:ascii="Times New Roman" w:hAnsi="Times New Roman" w:eastAsia="宋体"/>
                <w:color w:val="auto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61C4EE67">
            <w:pPr>
              <w:jc w:val="center"/>
              <w:rPr>
                <w:rFonts w:hint="default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57B9BEB9">
            <w:pPr>
              <w:jc w:val="center"/>
              <w:rPr>
                <w:rFonts w:ascii="Times New Roman" w:hAnsi="Times New Roman" w:eastAsia="宋体"/>
                <w:color w:val="auto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48FDACE3">
            <w:pPr>
              <w:jc w:val="center"/>
              <w:rPr>
                <w:rFonts w:hint="default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张海涛</w:t>
            </w:r>
          </w:p>
        </w:tc>
      </w:tr>
      <w:tr w14:paraId="2815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70D51413">
            <w:pPr>
              <w:jc w:val="center"/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</w:pPr>
            <w:bookmarkStart w:id="0" w:name="_GoBack" w:colFirst="1" w:colLast="5"/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拟定时间</w:t>
            </w:r>
          </w:p>
        </w:tc>
        <w:tc>
          <w:tcPr>
            <w:tcW w:w="1515" w:type="dxa"/>
            <w:vAlign w:val="top"/>
          </w:tcPr>
          <w:p w14:paraId="4984E8D3">
            <w:pPr>
              <w:jc w:val="center"/>
              <w:rPr>
                <w:rFonts w:hint="default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530" w:type="dxa"/>
            <w:vAlign w:val="top"/>
          </w:tcPr>
          <w:p w14:paraId="7FE855A9">
            <w:pPr>
              <w:jc w:val="center"/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vAlign w:val="top"/>
          </w:tcPr>
          <w:p w14:paraId="60FDA357">
            <w:pPr>
              <w:jc w:val="center"/>
              <w:rPr>
                <w:rFonts w:hint="default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80" w:type="dxa"/>
            <w:vAlign w:val="top"/>
          </w:tcPr>
          <w:p w14:paraId="5DED37DB">
            <w:pPr>
              <w:jc w:val="center"/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vAlign w:val="top"/>
          </w:tcPr>
          <w:p w14:paraId="03CBFA85">
            <w:pPr>
              <w:jc w:val="center"/>
              <w:rPr>
                <w:rFonts w:hint="default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bookmarkEnd w:id="0"/>
      <w:tr w14:paraId="301F3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62973F5B">
            <w:pPr>
              <w:jc w:val="center"/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8"/>
                <w:szCs w:val="28"/>
                <w:u w:val="none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1777DCC3">
            <w:pPr>
              <w:jc w:val="center"/>
              <w:rPr>
                <w:rFonts w:hint="default" w:ascii="Times New Roman" w:eastAsiaTheme="minorEastAsia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Calibri Light"/>
                <w:color w:val="auto"/>
                <w:sz w:val="28"/>
                <w:szCs w:val="28"/>
                <w:u w:val="none"/>
              </w:rPr>
              <w:t>YDXY-EC-SOP-001-</w:t>
            </w:r>
            <w:r>
              <w:rPr>
                <w:rFonts w:hint="eastAsia" w:ascii="Calibri Light"/>
                <w:color w:val="auto"/>
                <w:sz w:val="28"/>
                <w:szCs w:val="28"/>
                <w:u w:val="none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2E5478CF">
            <w:pPr>
              <w:jc w:val="center"/>
              <w:rPr>
                <w:rFonts w:hint="eastAsia" w:ascii="Times New Roman" w:eastAsia="宋体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74250D47">
            <w:pPr>
              <w:jc w:val="center"/>
              <w:rPr>
                <w:rFonts w:hint="default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2026.9.1</w:t>
            </w:r>
          </w:p>
        </w:tc>
      </w:tr>
      <w:tr w14:paraId="663F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</w:tcPr>
          <w:p w14:paraId="1DED6E9E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6E162714">
            <w:pPr>
              <w:rPr>
                <w:rFonts w:ascii="Times New Roman" w:hAnsi="Times New Roman" w:eastAsia="宋体"/>
              </w:rPr>
            </w:pPr>
          </w:p>
          <w:p w14:paraId="3FC768E3">
            <w:pPr>
              <w:rPr>
                <w:rFonts w:ascii="Times New Roman" w:hAnsi="Times New Roman" w:eastAsia="宋体"/>
              </w:rPr>
            </w:pPr>
          </w:p>
          <w:p w14:paraId="67CBBDB7">
            <w:pPr>
              <w:rPr>
                <w:rFonts w:ascii="Times New Roman" w:hAnsi="Times New Roman" w:eastAsia="宋体"/>
              </w:rPr>
            </w:pPr>
          </w:p>
          <w:p w14:paraId="0BDC62B7">
            <w:pPr>
              <w:rPr>
                <w:rFonts w:ascii="Times New Roman" w:hAnsi="Times New Roman" w:eastAsia="宋体"/>
              </w:rPr>
            </w:pPr>
          </w:p>
          <w:p w14:paraId="7A37730D">
            <w:pPr>
              <w:rPr>
                <w:rFonts w:ascii="Times New Roman" w:hAnsi="Times New Roman" w:eastAsia="宋体"/>
              </w:rPr>
            </w:pPr>
          </w:p>
          <w:p w14:paraId="73EDE8BB">
            <w:pPr>
              <w:rPr>
                <w:rFonts w:ascii="Times New Roman" w:hAnsi="Times New Roman" w:eastAsia="宋体"/>
              </w:rPr>
            </w:pPr>
          </w:p>
          <w:p w14:paraId="1B12315E">
            <w:pPr>
              <w:rPr>
                <w:rFonts w:ascii="Times New Roman" w:hAnsi="Times New Roman" w:eastAsia="宋体"/>
              </w:rPr>
            </w:pPr>
          </w:p>
          <w:p w14:paraId="376218E8">
            <w:pPr>
              <w:rPr>
                <w:rFonts w:ascii="Times New Roman" w:hAnsi="Times New Roman" w:eastAsia="宋体"/>
              </w:rPr>
            </w:pPr>
          </w:p>
          <w:p w14:paraId="54B7D201">
            <w:pPr>
              <w:rPr>
                <w:rFonts w:ascii="Times New Roman" w:hAnsi="Times New Roman" w:eastAsia="宋体"/>
              </w:rPr>
            </w:pPr>
          </w:p>
          <w:p w14:paraId="0BCCCDAB">
            <w:pPr>
              <w:rPr>
                <w:rFonts w:ascii="Times New Roman" w:hAnsi="Times New Roman" w:eastAsia="宋体"/>
              </w:rPr>
            </w:pPr>
          </w:p>
          <w:p w14:paraId="025FD157">
            <w:pPr>
              <w:rPr>
                <w:rFonts w:ascii="Times New Roman" w:hAnsi="Times New Roman" w:eastAsia="宋体"/>
              </w:rPr>
            </w:pPr>
          </w:p>
          <w:p w14:paraId="396A41E3">
            <w:pPr>
              <w:rPr>
                <w:rFonts w:ascii="Times New Roman" w:hAnsi="Times New Roman" w:eastAsia="宋体"/>
              </w:rPr>
            </w:pPr>
          </w:p>
          <w:p w14:paraId="16A24BCA">
            <w:pPr>
              <w:rPr>
                <w:rFonts w:ascii="Times New Roman" w:hAnsi="Times New Roman" w:eastAsia="宋体"/>
              </w:rPr>
            </w:pPr>
          </w:p>
          <w:p w14:paraId="2FA75ED1">
            <w:pPr>
              <w:rPr>
                <w:rFonts w:ascii="Times New Roman" w:hAnsi="Times New Roman" w:eastAsia="宋体"/>
              </w:rPr>
            </w:pPr>
          </w:p>
          <w:p w14:paraId="438AF399">
            <w:pPr>
              <w:rPr>
                <w:rFonts w:ascii="Times New Roman" w:hAnsi="Times New Roman" w:eastAsia="宋体"/>
              </w:rPr>
            </w:pPr>
          </w:p>
          <w:p w14:paraId="18A14C4B">
            <w:pPr>
              <w:rPr>
                <w:rFonts w:ascii="Times New Roman" w:hAnsi="Times New Roman" w:eastAsia="宋体"/>
              </w:rPr>
            </w:pPr>
          </w:p>
          <w:p w14:paraId="4EC9FAE1">
            <w:pPr>
              <w:rPr>
                <w:rFonts w:ascii="Times New Roman" w:hAnsi="Times New Roman" w:eastAsia="宋体"/>
              </w:rPr>
            </w:pPr>
          </w:p>
          <w:p w14:paraId="251F0249">
            <w:pPr>
              <w:rPr>
                <w:rFonts w:ascii="Times New Roman" w:hAnsi="Times New Roman" w:eastAsia="宋体"/>
              </w:rPr>
            </w:pPr>
          </w:p>
          <w:p w14:paraId="3765DAAA">
            <w:pPr>
              <w:rPr>
                <w:rFonts w:ascii="Times New Roman" w:hAnsi="Times New Roman" w:eastAsia="宋体"/>
              </w:rPr>
            </w:pPr>
          </w:p>
          <w:p w14:paraId="308CF3F7">
            <w:pPr>
              <w:rPr>
                <w:rFonts w:ascii="Times New Roman" w:hAnsi="Times New Roman" w:eastAsia="宋体"/>
              </w:rPr>
            </w:pPr>
          </w:p>
          <w:p w14:paraId="2CBC6A5D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4E9352A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（一）目的</w:t>
            </w:r>
          </w:p>
          <w:p w14:paraId="62FEB359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委员会初始审查的受理、处理、审查、传达决定、文件存档的工作有章可循，特制定本规程，以从程序上保证初始审查工作的质量。</w:t>
            </w:r>
          </w:p>
          <w:p w14:paraId="79666D4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（二）范围</w:t>
            </w:r>
          </w:p>
          <w:p w14:paraId="5498867C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</w:rPr>
              <w:t>适用于伦理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</w:rPr>
              <w:t>委员会对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  <w:t>涉及人的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生命科学和医学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  <w:t>研究项目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</w:rPr>
              <w:t>所进行的初始审查。</w:t>
            </w:r>
          </w:p>
          <w:p w14:paraId="7E8A03D9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规程</w:t>
            </w:r>
          </w:p>
          <w:p w14:paraId="444DD38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、受理：形式审查</w:t>
            </w:r>
          </w:p>
          <w:p w14:paraId="070267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</w:t>
            </w:r>
          </w:p>
          <w:p w14:paraId="76B8652E">
            <w:pPr>
              <w:pStyle w:val="9"/>
              <w:numPr>
                <w:ilvl w:val="0"/>
                <w:numId w:val="0"/>
              </w:numPr>
              <w:spacing w:line="240" w:lineRule="auto"/>
              <w:ind w:firstLine="560" w:firstLineChars="2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）药物临床试验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和</w:t>
            </w:r>
            <w:r>
              <w:rPr>
                <w:rFonts w:hint="eastAsia"/>
                <w:sz w:val="28"/>
                <w:szCs w:val="28"/>
              </w:rPr>
              <w:t>医疗器械临床试验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伦理形式审查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的送审文件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与机构立项文件保持一致。机构立项通过后，伦理秘书直接在伦理审查系统受理，不再进行形式审查。</w:t>
            </w:r>
          </w:p>
          <w:p w14:paraId="74BC25D9">
            <w:pPr>
              <w:pStyle w:val="9"/>
              <w:numPr>
                <w:ilvl w:val="0"/>
                <w:numId w:val="0"/>
              </w:numPr>
              <w:spacing w:line="240" w:lineRule="auto"/>
              <w:ind w:firstLine="560" w:firstLineChars="2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其他类别</w:t>
            </w:r>
            <w:r>
              <w:rPr>
                <w:rFonts w:hint="eastAsia"/>
                <w:sz w:val="28"/>
                <w:szCs w:val="28"/>
              </w:rPr>
              <w:t>临床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研究</w:t>
            </w:r>
            <w:r>
              <w:rPr>
                <w:rFonts w:hint="eastAsia"/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伦理形式审查</w:t>
            </w:r>
            <w:r>
              <w:rPr>
                <w:rFonts w:hint="eastAsia"/>
                <w:sz w:val="28"/>
                <w:szCs w:val="28"/>
              </w:rPr>
              <w:t>的送审文件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与业务主管部门初次审查文件保持一致。业务主管部门审查通过后，伦理秘书直接进行受理，不再进行形式审查。</w:t>
            </w:r>
          </w:p>
          <w:p w14:paraId="0BA46D75">
            <w:pPr>
              <w:pStyle w:val="9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伦理审查委员会实行伦理前置审查，所有临床试验项目可在没有获得CDE批件或通知书的情况下进行伦理审查，需要在本中心启动前向伦理审查委员会补充递交CDE批件或通知书。（注册类临床试验项目适用）</w:t>
            </w:r>
          </w:p>
          <w:p w14:paraId="36D6161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</w:t>
            </w:r>
          </w:p>
          <w:p w14:paraId="3CA1E1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</w:t>
            </w:r>
          </w:p>
          <w:p w14:paraId="020E0E48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）会议审查</w:t>
            </w:r>
            <w:r>
              <w:rPr>
                <w:rFonts w:hint="eastAsia"/>
                <w:sz w:val="28"/>
                <w:szCs w:val="28"/>
                <w:lang w:eastAsia="zh-CN"/>
              </w:rPr>
              <w:t>是</w:t>
            </w:r>
            <w:r>
              <w:rPr>
                <w:rFonts w:hint="eastAsia"/>
                <w:sz w:val="28"/>
                <w:szCs w:val="28"/>
              </w:rPr>
              <w:t>首次提交</w:t>
            </w:r>
            <w:r>
              <w:rPr>
                <w:rFonts w:hint="eastAsia"/>
                <w:sz w:val="28"/>
                <w:szCs w:val="28"/>
                <w:lang w:eastAsia="zh-CN"/>
              </w:rPr>
              <w:t>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  <w:lang w:eastAsia="zh-CN"/>
              </w:rPr>
              <w:t>委员会</w:t>
            </w:r>
            <w:r>
              <w:rPr>
                <w:rFonts w:hint="eastAsia"/>
                <w:sz w:val="28"/>
                <w:szCs w:val="28"/>
              </w:rPr>
              <w:t>审查的</w:t>
            </w:r>
            <w:r>
              <w:rPr>
                <w:rFonts w:hint="eastAsia"/>
                <w:sz w:val="28"/>
                <w:szCs w:val="28"/>
                <w:lang w:eastAsia="zh-CN"/>
              </w:rPr>
              <w:t>注册类药物</w:t>
            </w:r>
            <w:r>
              <w:rPr>
                <w:rFonts w:hint="eastAsia"/>
                <w:sz w:val="28"/>
                <w:szCs w:val="28"/>
              </w:rPr>
              <w:t>临床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试验</w:t>
            </w:r>
            <w:r>
              <w:rPr>
                <w:rFonts w:hint="eastAsia"/>
                <w:sz w:val="28"/>
                <w:szCs w:val="28"/>
              </w:rPr>
              <w:t>项目，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以及作为组长单位的</w:t>
            </w:r>
            <w:r>
              <w:rPr>
                <w:rFonts w:hint="eastAsia"/>
                <w:sz w:val="28"/>
                <w:szCs w:val="28"/>
                <w:lang w:eastAsia="zh-CN"/>
              </w:rPr>
              <w:t>多中心医疗器械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试验</w:t>
            </w:r>
            <w:r>
              <w:rPr>
                <w:rFonts w:hint="eastAsia"/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eastAsia="zh-CN"/>
              </w:rPr>
              <w:t>可</w:t>
            </w:r>
            <w:r>
              <w:rPr>
                <w:rFonts w:hint="eastAsia"/>
                <w:sz w:val="28"/>
                <w:szCs w:val="28"/>
              </w:rPr>
              <w:t>采用会议审查方式。</w:t>
            </w:r>
          </w:p>
          <w:p w14:paraId="57569C40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</w:rPr>
              <w:t>①研究风险不大于最小风险，不涉及弱势群体和个人隐私及敏感性问题，且研究步骤仅限于以下项目：手指、脚后跟、耳垂的血样采集；静脉采血则须在考虑年龄、体重、健康状况、采血程序、采血总量和采血频率等因素后，判断不大于最小风险。②通过无创手段、前瞻性采集用于研究的生物学标本（如头发、指甲、唾液、痰液等）。③通过临床实践常规的非侵入性手段进行的数据采集（不涉及全麻、镇静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/>
                <w:sz w:val="28"/>
                <w:szCs w:val="28"/>
              </w:rPr>
              <w:t>线或微波的手段，如果使用医疗器械，必须是经过批准上市的医疗器械，如磁共振成像、心电图、脑电图、温度计、超声、红外诊断成像、多普勒血液流变、超声心动图等）。④利用既往收集材料（数据、文件、记录或标本）的研究。⑤因研究目的而进行的声音、视频、数字或者影像记录的数据采集。⑥采用调查、访谈方法的研究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  <w:r>
              <w:rPr>
                <w:rFonts w:hint="eastAsia"/>
                <w:sz w:val="28"/>
                <w:szCs w:val="28"/>
              </w:rPr>
              <w:t>⑦</w:t>
            </w:r>
            <w:r>
              <w:rPr>
                <w:rFonts w:hint="eastAsia"/>
                <w:sz w:val="28"/>
                <w:szCs w:val="28"/>
                <w:lang w:eastAsia="zh-CN"/>
              </w:rPr>
              <w:t>多中心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非注册类</w:t>
            </w:r>
            <w:r>
              <w:rPr>
                <w:rFonts w:hint="eastAsia"/>
                <w:sz w:val="28"/>
                <w:szCs w:val="28"/>
                <w:lang w:eastAsia="zh-CN"/>
              </w:rPr>
              <w:t>临床研究项目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/>
                <w:sz w:val="28"/>
                <w:szCs w:val="28"/>
                <w:lang w:eastAsia="zh-CN"/>
              </w:rPr>
              <w:t>作为参与单位的多中心医疗器械</w:t>
            </w:r>
            <w:r>
              <w:rPr>
                <w:rFonts w:hint="eastAsia"/>
                <w:sz w:val="28"/>
                <w:szCs w:val="28"/>
              </w:rPr>
              <w:t>临床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试验</w:t>
            </w:r>
            <w:r>
              <w:rPr>
                <w:rFonts w:hint="eastAsia"/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eastAsia="zh-CN"/>
              </w:rPr>
              <w:t>。⑧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因伦理批件过期未启动，需要再次进行伦理初始审查的临床研究项目。⑨已通过本院伦理初始审查，临床研究期间新增/变更主要研究者/项目（课题负责人）的临床研究项目。⑩作为参与单位，已与国内相关组织机构签订伦理审查结果互认协议的</w:t>
            </w:r>
            <w:r>
              <w:rPr>
                <w:rFonts w:hint="eastAsia"/>
                <w:sz w:val="28"/>
                <w:szCs w:val="28"/>
                <w:lang w:eastAsia="zh-CN"/>
              </w:rPr>
              <w:t>注册类药物</w:t>
            </w:r>
            <w:r>
              <w:rPr>
                <w:rFonts w:hint="eastAsia"/>
                <w:sz w:val="28"/>
                <w:szCs w:val="28"/>
              </w:rPr>
              <w:t>临床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试验</w:t>
            </w:r>
            <w:r>
              <w:rPr>
                <w:rFonts w:hint="eastAsia"/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。</w:t>
            </w:r>
          </w:p>
          <w:p w14:paraId="49CC9C49">
            <w:pPr>
              <w:ind w:firstLine="56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转为会议审查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名主审委员的审查意见不一致，则转为会议审查的方式。</w:t>
            </w:r>
          </w:p>
          <w:p w14:paraId="5A381D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）审查的准备</w:t>
            </w:r>
          </w:p>
          <w:p w14:paraId="4F81F6F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）主审的准备①主审委员的选择：每个项目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主任委员指定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名主审委员，选择医药专业背景委员主审研究方案，优先选择非医药专业背景委员主审知情同意书。②准备审查文件：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为主审委员准备主审项目的整套送审文件；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为主审委员准备“审查工作表”。</w:t>
            </w:r>
          </w:p>
          <w:p w14:paraId="286BAB3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eastAsia="zh-CN"/>
              </w:rPr>
              <w:t>专家</w:t>
            </w:r>
            <w:r>
              <w:rPr>
                <w:rFonts w:hint="eastAsia"/>
                <w:sz w:val="28"/>
                <w:szCs w:val="28"/>
              </w:rPr>
              <w:t>的准备①</w:t>
            </w:r>
            <w:r>
              <w:rPr>
                <w:rFonts w:hint="eastAsia"/>
                <w:sz w:val="28"/>
                <w:szCs w:val="28"/>
                <w:lang w:eastAsia="zh-CN"/>
              </w:rPr>
              <w:t>独立顾问</w:t>
            </w:r>
            <w:r>
              <w:rPr>
                <w:rFonts w:hint="eastAsia"/>
                <w:sz w:val="28"/>
                <w:szCs w:val="28"/>
              </w:rPr>
              <w:t>的选择：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伦理秘书/主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委员</w:t>
            </w:r>
            <w:r>
              <w:rPr>
                <w:rFonts w:hint="eastAsia"/>
                <w:sz w:val="28"/>
                <w:szCs w:val="28"/>
              </w:rPr>
              <w:t>基于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送审项目的研究参与者与委员的社会文化背景明显不同，或者送审项目与委员的专业背景有很大的差异，存在需要咨询的审查问题，确定需要邀请独立顾问</w:t>
            </w:r>
            <w:r>
              <w:rPr>
                <w:rFonts w:hint="eastAsia"/>
                <w:sz w:val="28"/>
                <w:szCs w:val="28"/>
              </w:rPr>
              <w:t>。②准备咨询文件：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</w:t>
            </w:r>
            <w:r>
              <w:rPr>
                <w:rFonts w:hint="eastAsia"/>
                <w:sz w:val="28"/>
                <w:szCs w:val="28"/>
                <w:lang w:eastAsia="zh-CN"/>
              </w:rPr>
              <w:t>独立顾问</w:t>
            </w:r>
            <w:r>
              <w:rPr>
                <w:rFonts w:hint="eastAsia"/>
                <w:sz w:val="28"/>
                <w:szCs w:val="28"/>
              </w:rPr>
              <w:t>准备咨询项目的相关送审文件以及“咨询工作表”。</w:t>
            </w:r>
          </w:p>
          <w:p w14:paraId="3AE9BCF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、审查</w:t>
            </w:r>
          </w:p>
          <w:p w14:paraId="29F02A2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）审查程序</w:t>
            </w:r>
          </w:p>
          <w:p w14:paraId="49C74429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）会议审查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</w:p>
          <w:p w14:paraId="46B63302">
            <w:pPr>
              <w:ind w:firstLine="56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E316807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）主审委员：本机构如为多中心临床研究的参与单位，组长单位伦理审查委员会已经同意了研究项目，如果主审委员认为需要对研究方案进行某些修改，应当尽可能在会议审查前，与申请人、组长单位伦理审查委员会进行沟通，听取他们对这些问题的考虑。</w:t>
            </w:r>
          </w:p>
          <w:p w14:paraId="27F8B51F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（2）实质内容审查文件</w:t>
            </w:r>
          </w:p>
          <w:p w14:paraId="382B9EF2">
            <w:pPr>
              <w:ind w:firstLine="56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1）药物临床试验</w:t>
            </w:r>
          </w:p>
          <w:p w14:paraId="2F5BBBDB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①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试验方案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349BC85F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②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知情同意书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511E9ACA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③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招募试验参与者的方式和信息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4F67F636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④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提供给试验参与者的其他资料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6CEEF39F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⑤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研究者手册及当前的科学信息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210BE345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⑥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安全性资料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43921B77">
            <w:pPr>
              <w:ind w:firstLine="560"/>
              <w:rPr>
                <w:rFonts w:hint="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⑦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包含试验参与者补偿信息的文件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210458EC">
            <w:pPr>
              <w:ind w:firstLine="56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⑧</w:t>
            </w:r>
            <w:r>
              <w:rPr>
                <w:rFonts w:hint="eastAsia" w:eastAsiaTheme="minorEastAsia"/>
                <w:color w:val="auto"/>
                <w:sz w:val="28"/>
                <w:szCs w:val="28"/>
              </w:rPr>
              <w:t>主要研究者资质证明文件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CCBE4E6">
            <w:pPr>
              <w:numPr>
                <w:ilvl w:val="0"/>
                <w:numId w:val="1"/>
              </w:num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医疗器械临床试验</w:t>
            </w:r>
          </w:p>
          <w:p w14:paraId="78B210EA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①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临床试验方案； </w:t>
            </w:r>
          </w:p>
          <w:p w14:paraId="17F8E272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②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研究者手册； </w:t>
            </w:r>
          </w:p>
          <w:p w14:paraId="12782459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③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知情同意书文本和其他任何提供给受试者的书面材料； </w:t>
            </w:r>
          </w:p>
          <w:p w14:paraId="29AC0955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④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招募受试者和向其宣传的程序性文件（如适用）； </w:t>
            </w:r>
          </w:p>
          <w:p w14:paraId="62E818A1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⑤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病例报告表文本； </w:t>
            </w:r>
          </w:p>
          <w:p w14:paraId="3929E65B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⑥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基于产品技术要求的产品检验报告； </w:t>
            </w:r>
          </w:p>
          <w:p w14:paraId="6378A48F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⑦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临床前研究相关资料； </w:t>
            </w:r>
          </w:p>
          <w:p w14:paraId="152D1EA6">
            <w:pPr>
              <w:keepNext w:val="0"/>
              <w:keepLines w:val="0"/>
              <w:widowControl/>
              <w:suppressLineNumbers w:val="0"/>
              <w:ind w:firstLine="56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⑧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 xml:space="preserve">主要研究者简历、专业特长、能力、接受培训和其他能够证明其资格的文件； </w:t>
            </w:r>
          </w:p>
          <w:p w14:paraId="575B17CF">
            <w:pPr>
              <w:widowControl/>
              <w:ind w:firstLine="560"/>
              <w:jc w:val="left"/>
              <w:rPr>
                <w:rFonts w:hint="eastAsia" w:cstheme="minorBidi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⑨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"/>
              </w:rPr>
              <w:t>试验医疗器械的研制符合适用的医疗器械质量管理体 系相关要求的声明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"/>
              </w:rPr>
              <w:t>。</w:t>
            </w:r>
          </w:p>
          <w:p w14:paraId="070C47E8">
            <w:pPr>
              <w:widowControl/>
              <w:numPr>
                <w:ilvl w:val="0"/>
                <w:numId w:val="1"/>
              </w:numPr>
              <w:ind w:firstLine="560"/>
              <w:jc w:val="left"/>
              <w:rPr>
                <w:rFonts w:hint="default" w:cstheme="minorBidi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"/>
              </w:rPr>
              <w:t>其他类别临床研究项目与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与业务主管部门初次审查文件保持一致。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</w:p>
          <w:p w14:paraId="19D5A2A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7FF97AA3">
            <w:pPr>
              <w:numPr>
                <w:ilvl w:val="-1"/>
                <w:numId w:val="0"/>
              </w:numPr>
              <w:spacing w:line="240" w:lineRule="auto"/>
              <w:ind w:left="0" w:leftChars="0" w:firstLine="560"/>
              <w:rPr>
                <w:rFonts w:hint="eastAsia" w:eastAsiaTheme="minorEastAsia"/>
                <w:sz w:val="28"/>
                <w:szCs w:val="28"/>
              </w:rPr>
            </w:pPr>
            <w:r>
              <w:rPr>
                <w:rFonts w:hint="eastAsia" w:hAnsiTheme="minorHAnsi" w:eastAsiaTheme="minorEastAsia"/>
                <w:sz w:val="28"/>
                <w:szCs w:val="28"/>
              </w:rPr>
              <w:t>主审委员审查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研究的</w:t>
            </w:r>
            <w:r>
              <w:rPr>
                <w:rFonts w:hint="eastAsia" w:hAnsiTheme="minorHAnsi" w:eastAsiaTheme="minorEastAsia"/>
                <w:sz w:val="28"/>
                <w:szCs w:val="28"/>
              </w:rPr>
              <w:t>标准：</w:t>
            </w:r>
          </w:p>
          <w:p w14:paraId="38715D1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bidi="ar-SA"/>
              </w:rPr>
            </w:pP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研究具有科学价值和社会价值,不违反法律法规的规定，不损害公共利益；</w:t>
            </w:r>
          </w:p>
          <w:p w14:paraId="4FCEF9B3">
            <w:pPr>
              <w:pStyle w:val="4"/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420" w:right="0" w:firstLine="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2）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研究参与者权利得到尊重，隐私权和个人信息得到保护；</w:t>
            </w:r>
          </w:p>
          <w:p w14:paraId="1AAB27D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3）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研究方案科学；</w:t>
            </w:r>
          </w:p>
          <w:p w14:paraId="5E2C64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4）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研究参与者的纳入和排除的标准科学而公平；</w:t>
            </w:r>
          </w:p>
          <w:p w14:paraId="044447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5）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风险受益比合理，风险最小化；</w:t>
            </w:r>
          </w:p>
          <w:p w14:paraId="6AAB32E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6）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知情同意规范、有效；</w:t>
            </w:r>
          </w:p>
          <w:p w14:paraId="6A1F77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7）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研究机构和研究者能够胜任；</w:t>
            </w:r>
          </w:p>
          <w:p w14:paraId="561026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240" w:lineRule="auto"/>
              <w:ind w:left="0" w:right="0" w:firstLine="420"/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8）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auto"/>
                <w:lang w:bidi="ar-SA"/>
              </w:rPr>
              <w:t>研究结果发布方式、内容、时间合理；</w:t>
            </w:r>
          </w:p>
          <w:p w14:paraId="68273930">
            <w:pPr>
              <w:pStyle w:val="4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Autospacing="0" w:after="225" w:afterAutospacing="0" w:line="240" w:lineRule="auto"/>
              <w:ind w:firstLine="420"/>
              <w:rPr>
                <w:rFonts w:hint="eastAsia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cstheme="minorBidi"/>
                <w:i w:val="0"/>
                <w:iCs w:val="0"/>
                <w:caps w:val="0"/>
                <w:spacing w:val="0"/>
                <w:kern w:val="2"/>
                <w:sz w:val="28"/>
                <w:szCs w:val="28"/>
                <w:shd w:val="clear"/>
                <w:lang w:val="en-US" w:eastAsia="zh-CN" w:bidi="ar-SA"/>
              </w:rPr>
              <w:t>9）</w:t>
            </w:r>
            <w:r>
              <w:rPr>
                <w:rFonts w:hint="eastAsia" w:asciiTheme="minorHAnsi" w:hAnsiTheme="minorHAnsi" w:eastAsiaTheme="minorEastAsia" w:cstheme="minorBidi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bidi="ar-SA"/>
              </w:rPr>
              <w:t>研究者遵守科研规范与诚信。</w:t>
            </w:r>
          </w:p>
          <w:p w14:paraId="06C21A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3E5F17F2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研究项目：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F3F3F"/>
                <w:spacing w:val="0"/>
                <w:sz w:val="28"/>
                <w:szCs w:val="28"/>
              </w:rPr>
              <w:t>批准、不批准、修改后批准、修改后再审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3D273C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）跟踪审查频率：根据研究的风险程度，确定跟踪审查的频率，最长不超过</w:t>
            </w:r>
            <w:r>
              <w:rPr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个月。</w:t>
            </w:r>
          </w:p>
          <w:p w14:paraId="2E8B54B2">
            <w:pPr>
              <w:ind w:firstLine="560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）伦理审查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的有效期。审查决定为“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”，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的有效期根据临床研究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项目预计完成</w:t>
            </w:r>
            <w:r>
              <w:rPr>
                <w:rFonts w:hint="eastAsia"/>
                <w:sz w:val="28"/>
                <w:szCs w:val="28"/>
              </w:rPr>
              <w:t>的周期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确定。</w:t>
            </w:r>
          </w:p>
          <w:p w14:paraId="15EF2D22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）（快速审查）是否更改审查方式：提交会议审查。</w:t>
            </w:r>
          </w:p>
          <w:p w14:paraId="2A72EC1A">
            <w:pPr>
              <w:ind w:firstLine="56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6B9D11AF">
            <w:pPr>
              <w:ind w:firstLine="56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）肯定性决定：以“伦理审查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”的形式传达，并附“会议签到表”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AF77BFB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）条件性或否定性决定：以“伦理审查意见”的形式传达。</w:t>
            </w:r>
          </w:p>
          <w:p w14:paraId="72C8FEB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5个工作日</w:t>
            </w:r>
            <w:r>
              <w:rPr>
                <w:rFonts w:hint="eastAsia"/>
                <w:sz w:val="28"/>
                <w:szCs w:val="28"/>
              </w:rPr>
              <w:t>内完成决定的传达。</w:t>
            </w:r>
          </w:p>
          <w:p w14:paraId="5084456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</w:t>
            </w:r>
          </w:p>
          <w:p w14:paraId="7C66BD1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）审查过程中形成、积累、保存的文件，按审查阶段及时存档或归档，建立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z w:val="28"/>
                <w:szCs w:val="28"/>
              </w:rPr>
              <w:t>更新项目档案目录。</w:t>
            </w:r>
          </w:p>
          <w:p w14:paraId="3802F79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）会议审查的项目存档文件：项目送审文件，审查工作表，会议签到表，会议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会议记录，伦理审查决定文件。</w:t>
            </w:r>
          </w:p>
          <w:p w14:paraId="6D4CF131">
            <w:pPr>
              <w:ind w:firstLine="560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）快速审查的项目存档文件：项目送审文件，审查工作表，快审主审综合意见，伦理审查决定文件。</w:t>
            </w:r>
          </w:p>
          <w:p w14:paraId="7F03B142">
            <w:pPr>
              <w:ind w:firstLine="0" w:firstLineChars="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附件</w:t>
            </w:r>
          </w:p>
          <w:p w14:paraId="7EC8A9E0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/>
                <w:sz w:val="28"/>
                <w:szCs w:val="28"/>
              </w:rPr>
              <w:t>免除审查申请表</w:t>
            </w:r>
          </w:p>
          <w:p w14:paraId="62E71710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</w:t>
            </w:r>
            <w:r>
              <w:rPr>
                <w:rFonts w:hint="eastAsia"/>
                <w:sz w:val="28"/>
                <w:szCs w:val="28"/>
              </w:rPr>
              <w:t>初始审查工作表（药物、器械、科研</w:t>
            </w:r>
            <w:r>
              <w:rPr>
                <w:rFonts w:hint="eastAsia"/>
                <w:sz w:val="28"/>
                <w:szCs w:val="28"/>
                <w:lang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通用）</w:t>
            </w:r>
          </w:p>
          <w:p w14:paraId="6BEA4235">
            <w:pPr>
              <w:ind w:firstLine="560"/>
              <w:jc w:val="both"/>
              <w:rPr>
                <w:rFonts w:hint="eastAsia" w:asciiTheme="minorHAnsi" w:hAnsiTheme="minorHAnsi" w:eastAsiaTheme="minorEastAsia" w:cstheme="minorBidi"/>
                <w:b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Theme="minorHAnsi" w:hAnsiTheme="minorHAnsi" w:eastAsiaTheme="minorEastAsia" w:cstheme="minorBidi"/>
                <w:b w:val="0"/>
                <w:sz w:val="28"/>
                <w:szCs w:val="28"/>
                <w:lang w:eastAsia="zh-CN"/>
              </w:rPr>
              <w:t>免除知情同意审查工作表</w:t>
            </w:r>
          </w:p>
          <w:p w14:paraId="6296AE07">
            <w:pPr>
              <w:ind w:firstLine="0" w:firstLineChars="0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4、</w:t>
            </w:r>
            <w:r>
              <w:rPr>
                <w:rFonts w:hint="eastAsia"/>
                <w:sz w:val="28"/>
                <w:szCs w:val="28"/>
              </w:rPr>
              <w:t>免除审查工作表</w:t>
            </w:r>
          </w:p>
          <w:p w14:paraId="4B152D65">
            <w:pPr>
              <w:ind w:firstLine="0" w:firstLineChars="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 xml:space="preserve">    5、</w:t>
            </w:r>
            <w:r>
              <w:rPr>
                <w:rFonts w:hint="eastAsia"/>
                <w:sz w:val="28"/>
                <w:szCs w:val="28"/>
                <w:lang w:eastAsia="zh-CN"/>
              </w:rPr>
              <w:t>独立顾问咨询工作表</w:t>
            </w:r>
          </w:p>
          <w:p w14:paraId="2860F962">
            <w:pPr>
              <w:ind w:firstLine="0" w:firstLineChars="0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</w:tbl>
    <w:p w14:paraId="2030726F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D03B">
    <w:pPr>
      <w:pStyle w:val="2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3ECBBCC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4ACCB">
    <w:pPr>
      <w:pStyle w:val="3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eastAsia="zh-CN"/>
      </w:rPr>
      <w:t>伦理</w:t>
    </w:r>
    <w:r>
      <w:rPr>
        <w:rFonts w:hint="eastAsia"/>
        <w:b/>
        <w:bCs/>
        <w:sz w:val="21"/>
        <w:szCs w:val="21"/>
        <w:lang w:val="en-US" w:eastAsia="zh-CN"/>
      </w:rPr>
      <w:t>审查</w:t>
    </w:r>
    <w:r>
      <w:rPr>
        <w:rFonts w:hint="eastAsia"/>
        <w:b/>
        <w:bCs/>
        <w:sz w:val="21"/>
        <w:szCs w:val="21"/>
        <w:lang w:eastAsia="zh-CN"/>
      </w:rPr>
      <w:t>委员会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8C63AC"/>
    <w:multiLevelType w:val="singleLevel"/>
    <w:tmpl w:val="D48C63AC"/>
    <w:lvl w:ilvl="0" w:tentative="0">
      <w:start w:val="2"/>
      <w:numFmt w:val="decimal"/>
      <w:suff w:val="nothing"/>
      <w:lvlText w:val="%1）"/>
      <w:lvlJc w:val="left"/>
    </w:lvl>
  </w:abstractNum>
  <w:abstractNum w:abstractNumId="1">
    <w:nsid w:val="100F183D"/>
    <w:multiLevelType w:val="singleLevel"/>
    <w:tmpl w:val="100F183D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3558C3"/>
    <w:rsid w:val="00457522"/>
    <w:rsid w:val="005913B5"/>
    <w:rsid w:val="005D7D24"/>
    <w:rsid w:val="00674179"/>
    <w:rsid w:val="008C186F"/>
    <w:rsid w:val="00AA208C"/>
    <w:rsid w:val="00BB1D3B"/>
    <w:rsid w:val="00C06D07"/>
    <w:rsid w:val="00DB6B4C"/>
    <w:rsid w:val="00DD1695"/>
    <w:rsid w:val="00EC4641"/>
    <w:rsid w:val="01065A25"/>
    <w:rsid w:val="01294BAF"/>
    <w:rsid w:val="023A630B"/>
    <w:rsid w:val="028163D2"/>
    <w:rsid w:val="03A84979"/>
    <w:rsid w:val="0598795D"/>
    <w:rsid w:val="05E71B57"/>
    <w:rsid w:val="061D1AB0"/>
    <w:rsid w:val="073E170E"/>
    <w:rsid w:val="084E4E88"/>
    <w:rsid w:val="088C0BD1"/>
    <w:rsid w:val="0B6941B3"/>
    <w:rsid w:val="0C5A6309"/>
    <w:rsid w:val="0C5D7F30"/>
    <w:rsid w:val="0C640D46"/>
    <w:rsid w:val="0CFC5ED1"/>
    <w:rsid w:val="0DD47DF6"/>
    <w:rsid w:val="0DF41D4E"/>
    <w:rsid w:val="0F5C6207"/>
    <w:rsid w:val="11424DA6"/>
    <w:rsid w:val="119D0D26"/>
    <w:rsid w:val="11A57189"/>
    <w:rsid w:val="11B622A8"/>
    <w:rsid w:val="11B637BB"/>
    <w:rsid w:val="128C0F3F"/>
    <w:rsid w:val="13664EBA"/>
    <w:rsid w:val="14BD61CB"/>
    <w:rsid w:val="14BF4551"/>
    <w:rsid w:val="15BA1FDE"/>
    <w:rsid w:val="166A4785"/>
    <w:rsid w:val="17227C59"/>
    <w:rsid w:val="17517F67"/>
    <w:rsid w:val="176F2611"/>
    <w:rsid w:val="191B0393"/>
    <w:rsid w:val="192F7450"/>
    <w:rsid w:val="195E0646"/>
    <w:rsid w:val="1AB93EC6"/>
    <w:rsid w:val="1B3554F3"/>
    <w:rsid w:val="1C1239FB"/>
    <w:rsid w:val="1CB57848"/>
    <w:rsid w:val="1E03627E"/>
    <w:rsid w:val="1FC559D7"/>
    <w:rsid w:val="20087438"/>
    <w:rsid w:val="209655C2"/>
    <w:rsid w:val="21282D95"/>
    <w:rsid w:val="21DD4356"/>
    <w:rsid w:val="21DE2F85"/>
    <w:rsid w:val="229D16D4"/>
    <w:rsid w:val="22B050DF"/>
    <w:rsid w:val="2470475A"/>
    <w:rsid w:val="25755EDA"/>
    <w:rsid w:val="266D6B5D"/>
    <w:rsid w:val="26933CB2"/>
    <w:rsid w:val="26EA179E"/>
    <w:rsid w:val="279437C4"/>
    <w:rsid w:val="27DB6B52"/>
    <w:rsid w:val="28707A47"/>
    <w:rsid w:val="28F9552D"/>
    <w:rsid w:val="2928599B"/>
    <w:rsid w:val="2A574845"/>
    <w:rsid w:val="2B0C3C02"/>
    <w:rsid w:val="2B35548A"/>
    <w:rsid w:val="2BB5674A"/>
    <w:rsid w:val="2C5F0370"/>
    <w:rsid w:val="2C6C2AA6"/>
    <w:rsid w:val="2C721310"/>
    <w:rsid w:val="2CC61D4B"/>
    <w:rsid w:val="2CDE57F5"/>
    <w:rsid w:val="2D83145F"/>
    <w:rsid w:val="2E4D27DA"/>
    <w:rsid w:val="2F971030"/>
    <w:rsid w:val="2FCD2CB9"/>
    <w:rsid w:val="3112357D"/>
    <w:rsid w:val="33142D70"/>
    <w:rsid w:val="33241DBB"/>
    <w:rsid w:val="34616622"/>
    <w:rsid w:val="3521080C"/>
    <w:rsid w:val="35535834"/>
    <w:rsid w:val="362E1671"/>
    <w:rsid w:val="37C35FFC"/>
    <w:rsid w:val="383A690E"/>
    <w:rsid w:val="3887135E"/>
    <w:rsid w:val="3A62123E"/>
    <w:rsid w:val="3B857039"/>
    <w:rsid w:val="3C3C2A9B"/>
    <w:rsid w:val="3C8B6D61"/>
    <w:rsid w:val="3DB61F37"/>
    <w:rsid w:val="3F84244A"/>
    <w:rsid w:val="3F9E4DD9"/>
    <w:rsid w:val="3FAC38DE"/>
    <w:rsid w:val="3FF63C05"/>
    <w:rsid w:val="41460F7A"/>
    <w:rsid w:val="417364BD"/>
    <w:rsid w:val="42372EAA"/>
    <w:rsid w:val="423E765F"/>
    <w:rsid w:val="42A0489B"/>
    <w:rsid w:val="431A4213"/>
    <w:rsid w:val="433D597E"/>
    <w:rsid w:val="44650A03"/>
    <w:rsid w:val="44C74AFA"/>
    <w:rsid w:val="45372BC7"/>
    <w:rsid w:val="45826B22"/>
    <w:rsid w:val="46F04E55"/>
    <w:rsid w:val="4A6D4EAB"/>
    <w:rsid w:val="4AE368E5"/>
    <w:rsid w:val="4AF82F3F"/>
    <w:rsid w:val="4BA566D3"/>
    <w:rsid w:val="4CAC70E6"/>
    <w:rsid w:val="4CF3126F"/>
    <w:rsid w:val="4D2A47B7"/>
    <w:rsid w:val="4D7F5CD7"/>
    <w:rsid w:val="4F321EA5"/>
    <w:rsid w:val="503120E6"/>
    <w:rsid w:val="50373464"/>
    <w:rsid w:val="51461760"/>
    <w:rsid w:val="529A6F16"/>
    <w:rsid w:val="53454420"/>
    <w:rsid w:val="53C0752F"/>
    <w:rsid w:val="5492791F"/>
    <w:rsid w:val="5495291E"/>
    <w:rsid w:val="56F5490E"/>
    <w:rsid w:val="58443189"/>
    <w:rsid w:val="58B23C1A"/>
    <w:rsid w:val="5AB50043"/>
    <w:rsid w:val="5ABC3575"/>
    <w:rsid w:val="5B0D2810"/>
    <w:rsid w:val="5BB762A5"/>
    <w:rsid w:val="5BD604F0"/>
    <w:rsid w:val="5D9376E8"/>
    <w:rsid w:val="5FD122ED"/>
    <w:rsid w:val="5FE81284"/>
    <w:rsid w:val="61684673"/>
    <w:rsid w:val="618E7131"/>
    <w:rsid w:val="62AF3292"/>
    <w:rsid w:val="62B706E1"/>
    <w:rsid w:val="63B349B2"/>
    <w:rsid w:val="642F6355"/>
    <w:rsid w:val="64BB3718"/>
    <w:rsid w:val="65C00FAE"/>
    <w:rsid w:val="662F77D3"/>
    <w:rsid w:val="6B0845B4"/>
    <w:rsid w:val="6B6D7D84"/>
    <w:rsid w:val="6BE52828"/>
    <w:rsid w:val="6C1907B4"/>
    <w:rsid w:val="6C676F73"/>
    <w:rsid w:val="6D5E1B7B"/>
    <w:rsid w:val="6E1F14A0"/>
    <w:rsid w:val="70000643"/>
    <w:rsid w:val="72384DBB"/>
    <w:rsid w:val="731B0A42"/>
    <w:rsid w:val="746A51E0"/>
    <w:rsid w:val="74852670"/>
    <w:rsid w:val="755029DA"/>
    <w:rsid w:val="76D565E4"/>
    <w:rsid w:val="775629A2"/>
    <w:rsid w:val="776A09D4"/>
    <w:rsid w:val="78CD7A1B"/>
    <w:rsid w:val="792D50D3"/>
    <w:rsid w:val="796F3CA6"/>
    <w:rsid w:val="7B731FFB"/>
    <w:rsid w:val="7D962148"/>
    <w:rsid w:val="7DE70B90"/>
    <w:rsid w:val="7E7F27A2"/>
    <w:rsid w:val="7E8168D5"/>
    <w:rsid w:val="7F7A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2415</Words>
  <Characters>2438</Characters>
  <Lines>16</Lines>
  <Paragraphs>4</Paragraphs>
  <TotalTime>9</TotalTime>
  <ScaleCrop>false</ScaleCrop>
  <LinksUpToDate>false</LinksUpToDate>
  <CharactersWithSpaces>2542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2025-06-20T00:48:00Z</cp:lastPrinted>
  <dcterms:modified xsi:type="dcterms:W3CDTF">2026-08-31T09:27:12Z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C59BB4B709454D4988AA393F4495BCB4_12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