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4544C">
      <w:pPr>
        <w:jc w:val="center"/>
        <w:rPr>
          <w:b/>
          <w:bCs/>
          <w:sz w:val="32"/>
          <w:szCs w:val="32"/>
          <w:lang w:val="en-US"/>
        </w:rPr>
      </w:pPr>
      <w:r>
        <w:rPr>
          <w:rFonts w:hint="eastAsia"/>
          <w:b/>
          <w:bCs/>
          <w:sz w:val="32"/>
          <w:szCs w:val="32"/>
          <w:lang w:val="en-US" w:eastAsia="zh-CN"/>
        </w:rPr>
        <w:t>伦理审查委员会</w:t>
      </w:r>
      <w:r>
        <w:rPr>
          <w:rFonts w:hint="eastAsia"/>
          <w:b/>
          <w:bCs/>
          <w:sz w:val="32"/>
          <w:szCs w:val="32"/>
          <w:lang w:eastAsia="zh-CN"/>
        </w:rPr>
        <w:t>标准操作规程</w:t>
      </w:r>
    </w:p>
    <w:tbl>
      <w:tblPr>
        <w:tblStyle w:val="6"/>
        <w:tblpPr w:leftFromText="180" w:rightFromText="180" w:vertAnchor="page" w:horzAnchor="page" w:tblpX="1702" w:tblpY="2148"/>
        <w:tblOverlap w:val="never"/>
        <w:tblW w:w="8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515"/>
        <w:gridCol w:w="1530"/>
        <w:gridCol w:w="1365"/>
        <w:gridCol w:w="1380"/>
        <w:gridCol w:w="1530"/>
      </w:tblGrid>
      <w:tr w14:paraId="664C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405" w:type="dxa"/>
          </w:tcPr>
          <w:p w14:paraId="204009FA">
            <w:pPr>
              <w:jc w:val="center"/>
              <w:rPr>
                <w:rFonts w:ascii="Times New Roman" w:hAnsi="Times New Roman" w:eastAsia="宋体"/>
              </w:rPr>
            </w:pPr>
            <w:r>
              <w:rPr>
                <w:rFonts w:hint="eastAsia" w:ascii="Times New Roman" w:eastAsia="宋体"/>
                <w:b/>
                <w:bCs/>
                <w:sz w:val="28"/>
                <w:szCs w:val="28"/>
              </w:rPr>
              <w:t>题</w:t>
            </w:r>
            <w:r>
              <w:rPr>
                <w:rFonts w:hint="eastAsia" w:ascii="Times New Roman" w:hAnsi="Times New Roman" w:eastAsia="宋体"/>
                <w:b/>
                <w:bCs/>
                <w:sz w:val="28"/>
                <w:szCs w:val="28"/>
              </w:rPr>
              <w:t xml:space="preserve">  </w:t>
            </w:r>
            <w:r>
              <w:rPr>
                <w:rFonts w:hint="eastAsia" w:ascii="Times New Roman" w:eastAsia="宋体"/>
                <w:b/>
                <w:bCs/>
                <w:sz w:val="28"/>
                <w:szCs w:val="28"/>
              </w:rPr>
              <w:t>目</w:t>
            </w:r>
          </w:p>
        </w:tc>
        <w:tc>
          <w:tcPr>
            <w:tcW w:w="7320" w:type="dxa"/>
            <w:gridSpan w:val="5"/>
          </w:tcPr>
          <w:p w14:paraId="32C1D0EF">
            <w:pPr>
              <w:jc w:val="center"/>
              <w:rPr>
                <w:rFonts w:hint="eastAsia" w:ascii="Times New Roman" w:hAnsi="Times New Roman" w:eastAsia="宋体"/>
                <w:sz w:val="28"/>
                <w:szCs w:val="28"/>
                <w:lang w:eastAsia="zh-CN"/>
              </w:rPr>
            </w:pPr>
            <w:r>
              <w:rPr>
                <w:rFonts w:hint="eastAsia" w:ascii="宋体" w:hAnsi="宋体" w:eastAsia="宋体" w:cs="宋体"/>
                <w:b w:val="0"/>
                <w:bCs w:val="0"/>
                <w:sz w:val="28"/>
                <w:szCs w:val="28"/>
              </w:rPr>
              <w:t>安全性事件/信息报告</w:t>
            </w:r>
            <w:r>
              <w:rPr>
                <w:rFonts w:hint="eastAsia" w:ascii="宋体" w:hAnsi="宋体" w:eastAsia="宋体" w:cs="宋体"/>
                <w:b w:val="0"/>
                <w:bCs w:val="0"/>
                <w:sz w:val="28"/>
                <w:szCs w:val="28"/>
                <w:lang w:eastAsia="zh-CN"/>
              </w:rPr>
              <w:t>的标准操作规程</w:t>
            </w:r>
          </w:p>
        </w:tc>
      </w:tr>
      <w:tr w14:paraId="4FBF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405" w:type="dxa"/>
            <w:vAlign w:val="top"/>
          </w:tcPr>
          <w:p w14:paraId="19A51E23">
            <w:pPr>
              <w:jc w:val="center"/>
              <w:rPr>
                <w:rFonts w:ascii="Times New Roman" w:hAnsi="Times New Roman" w:eastAsia="宋体"/>
              </w:rPr>
            </w:pPr>
            <w:r>
              <w:rPr>
                <w:rFonts w:hint="eastAsia" w:ascii="Times New Roman" w:eastAsia="宋体"/>
                <w:b/>
                <w:bCs/>
                <w:sz w:val="28"/>
                <w:szCs w:val="28"/>
              </w:rPr>
              <w:t>拟定人</w:t>
            </w:r>
          </w:p>
        </w:tc>
        <w:tc>
          <w:tcPr>
            <w:tcW w:w="1515" w:type="dxa"/>
            <w:vAlign w:val="top"/>
          </w:tcPr>
          <w:p w14:paraId="1EDEC670">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徐佳浩</w:t>
            </w:r>
          </w:p>
        </w:tc>
        <w:tc>
          <w:tcPr>
            <w:tcW w:w="1530" w:type="dxa"/>
            <w:vAlign w:val="top"/>
          </w:tcPr>
          <w:p w14:paraId="0C445786">
            <w:pPr>
              <w:jc w:val="center"/>
              <w:rPr>
                <w:rFonts w:ascii="Times New Roman" w:hAnsi="Times New Roman" w:eastAsia="宋体"/>
              </w:rPr>
            </w:pPr>
            <w:r>
              <w:rPr>
                <w:rFonts w:hint="eastAsia" w:ascii="Times New Roman" w:eastAsia="宋体"/>
                <w:b/>
                <w:bCs/>
                <w:color w:val="auto"/>
                <w:sz w:val="28"/>
                <w:szCs w:val="28"/>
                <w:u w:val="none"/>
              </w:rPr>
              <w:t>审核人</w:t>
            </w:r>
          </w:p>
        </w:tc>
        <w:tc>
          <w:tcPr>
            <w:tcW w:w="1365" w:type="dxa"/>
            <w:vAlign w:val="top"/>
          </w:tcPr>
          <w:p w14:paraId="6FD6CFCF">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巨涛</w:t>
            </w:r>
          </w:p>
        </w:tc>
        <w:tc>
          <w:tcPr>
            <w:tcW w:w="1380" w:type="dxa"/>
            <w:vAlign w:val="top"/>
          </w:tcPr>
          <w:p w14:paraId="6769A46B">
            <w:pPr>
              <w:jc w:val="center"/>
              <w:rPr>
                <w:rFonts w:ascii="Times New Roman" w:hAnsi="Times New Roman" w:eastAsia="宋体"/>
              </w:rPr>
            </w:pPr>
            <w:r>
              <w:rPr>
                <w:rFonts w:hint="eastAsia" w:ascii="Times New Roman" w:eastAsia="宋体"/>
                <w:b/>
                <w:bCs/>
                <w:color w:val="auto"/>
                <w:sz w:val="28"/>
                <w:szCs w:val="28"/>
                <w:u w:val="none"/>
              </w:rPr>
              <w:t>批准人</w:t>
            </w:r>
          </w:p>
        </w:tc>
        <w:tc>
          <w:tcPr>
            <w:tcW w:w="1530" w:type="dxa"/>
            <w:vAlign w:val="top"/>
          </w:tcPr>
          <w:p w14:paraId="1498C462">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张海涛</w:t>
            </w:r>
          </w:p>
        </w:tc>
      </w:tr>
      <w:tr w14:paraId="4C61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05" w:type="dxa"/>
            <w:vAlign w:val="top"/>
          </w:tcPr>
          <w:p w14:paraId="7F40EF4A">
            <w:pPr>
              <w:jc w:val="center"/>
              <w:rPr>
                <w:rFonts w:hint="eastAsia" w:ascii="Times New Roman" w:eastAsia="宋体"/>
                <w:b/>
                <w:bCs/>
                <w:sz w:val="28"/>
                <w:szCs w:val="28"/>
              </w:rPr>
            </w:pPr>
            <w:r>
              <w:rPr>
                <w:rFonts w:hint="eastAsia" w:ascii="Times New Roman" w:eastAsia="宋体"/>
                <w:b/>
                <w:bCs/>
                <w:sz w:val="28"/>
                <w:szCs w:val="28"/>
                <w:lang w:val="en-US" w:eastAsia="zh-CN"/>
              </w:rPr>
              <w:t>拟定时间</w:t>
            </w:r>
          </w:p>
        </w:tc>
        <w:tc>
          <w:tcPr>
            <w:tcW w:w="1515" w:type="dxa"/>
            <w:shd w:val="clear"/>
            <w:vAlign w:val="top"/>
          </w:tcPr>
          <w:p w14:paraId="11F0BD44">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2026.8.3</w:t>
            </w:r>
          </w:p>
        </w:tc>
        <w:tc>
          <w:tcPr>
            <w:tcW w:w="1530" w:type="dxa"/>
            <w:shd w:val="clear"/>
            <w:vAlign w:val="top"/>
          </w:tcPr>
          <w:p w14:paraId="6229B687">
            <w:pPr>
              <w:jc w:val="center"/>
              <w:rPr>
                <w:rFonts w:hint="eastAsia" w:ascii="Times New Roman" w:eastAsia="宋体" w:hAnsiTheme="minorHAnsi" w:cstheme="minorBidi"/>
                <w:b/>
                <w:bCs/>
                <w:color w:val="auto"/>
                <w:kern w:val="2"/>
                <w:sz w:val="28"/>
                <w:szCs w:val="28"/>
                <w:u w:val="none"/>
                <w:lang w:val="en-US" w:eastAsia="zh-CN" w:bidi="ar-SA"/>
              </w:rPr>
            </w:pPr>
            <w:r>
              <w:rPr>
                <w:rFonts w:hint="eastAsia" w:ascii="Times New Roman" w:eastAsia="宋体"/>
                <w:b/>
                <w:bCs/>
                <w:color w:val="auto"/>
                <w:sz w:val="28"/>
                <w:szCs w:val="28"/>
                <w:u w:val="none"/>
              </w:rPr>
              <w:t>审核</w:t>
            </w:r>
            <w:r>
              <w:rPr>
                <w:rFonts w:hint="eastAsia" w:ascii="Times New Roman" w:eastAsia="宋体"/>
                <w:b/>
                <w:bCs/>
                <w:color w:val="auto"/>
                <w:sz w:val="28"/>
                <w:szCs w:val="28"/>
                <w:u w:val="none"/>
                <w:lang w:val="en-US" w:eastAsia="zh-CN"/>
              </w:rPr>
              <w:t>时间</w:t>
            </w:r>
          </w:p>
        </w:tc>
        <w:tc>
          <w:tcPr>
            <w:tcW w:w="1365" w:type="dxa"/>
            <w:shd w:val="clear"/>
            <w:vAlign w:val="top"/>
          </w:tcPr>
          <w:p w14:paraId="495CF292">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2026.8.13</w:t>
            </w:r>
          </w:p>
        </w:tc>
        <w:tc>
          <w:tcPr>
            <w:tcW w:w="1380" w:type="dxa"/>
            <w:shd w:val="clear"/>
            <w:vAlign w:val="top"/>
          </w:tcPr>
          <w:p w14:paraId="5508F37A">
            <w:pPr>
              <w:jc w:val="center"/>
              <w:rPr>
                <w:rFonts w:hint="eastAsia" w:ascii="Times New Roman" w:eastAsia="宋体" w:hAnsiTheme="minorHAnsi" w:cstheme="minorBidi"/>
                <w:b/>
                <w:bCs/>
                <w:color w:val="auto"/>
                <w:kern w:val="2"/>
                <w:sz w:val="28"/>
                <w:szCs w:val="28"/>
                <w:u w:val="none"/>
                <w:lang w:val="en-US" w:eastAsia="zh-CN" w:bidi="ar-SA"/>
              </w:rPr>
            </w:pPr>
            <w:r>
              <w:rPr>
                <w:rFonts w:hint="eastAsia" w:ascii="Times New Roman" w:eastAsia="宋体"/>
                <w:b/>
                <w:bCs/>
                <w:color w:val="auto"/>
                <w:sz w:val="28"/>
                <w:szCs w:val="28"/>
                <w:u w:val="none"/>
              </w:rPr>
              <w:t>批准</w:t>
            </w:r>
            <w:r>
              <w:rPr>
                <w:rFonts w:hint="eastAsia" w:ascii="Times New Roman" w:eastAsia="宋体"/>
                <w:b/>
                <w:bCs/>
                <w:color w:val="auto"/>
                <w:sz w:val="28"/>
                <w:szCs w:val="28"/>
                <w:u w:val="none"/>
                <w:lang w:val="en-US" w:eastAsia="zh-CN"/>
              </w:rPr>
              <w:t>时间</w:t>
            </w:r>
          </w:p>
        </w:tc>
        <w:tc>
          <w:tcPr>
            <w:tcW w:w="1530" w:type="dxa"/>
            <w:shd w:val="clear"/>
            <w:vAlign w:val="top"/>
          </w:tcPr>
          <w:p w14:paraId="4F989C06">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2026.8.24</w:t>
            </w:r>
          </w:p>
        </w:tc>
      </w:tr>
      <w:tr w14:paraId="3492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405" w:type="dxa"/>
            <w:vAlign w:val="top"/>
          </w:tcPr>
          <w:p w14:paraId="2B7E5D2D">
            <w:pPr>
              <w:jc w:val="center"/>
              <w:rPr>
                <w:rFonts w:hint="eastAsia" w:ascii="Times New Roman" w:eastAsia="宋体"/>
                <w:b/>
                <w:bCs/>
                <w:sz w:val="28"/>
                <w:szCs w:val="28"/>
              </w:rPr>
            </w:pPr>
            <w:r>
              <w:rPr>
                <w:rFonts w:hint="eastAsia" w:ascii="Times New Roman" w:eastAsia="宋体"/>
                <w:b/>
                <w:bCs/>
                <w:sz w:val="28"/>
                <w:szCs w:val="28"/>
              </w:rPr>
              <w:t>编</w:t>
            </w:r>
            <w:r>
              <w:rPr>
                <w:rFonts w:hint="eastAsia" w:ascii="Times New Roman" w:hAnsi="Times New Roman" w:eastAsia="宋体"/>
                <w:b/>
                <w:bCs/>
                <w:sz w:val="28"/>
                <w:szCs w:val="28"/>
              </w:rPr>
              <w:t xml:space="preserve">  </w:t>
            </w:r>
            <w:r>
              <w:rPr>
                <w:rFonts w:hint="eastAsia" w:ascii="Times New Roman" w:eastAsia="宋体"/>
                <w:b/>
                <w:bCs/>
                <w:sz w:val="28"/>
                <w:szCs w:val="28"/>
              </w:rPr>
              <w:t>号</w:t>
            </w:r>
          </w:p>
        </w:tc>
        <w:tc>
          <w:tcPr>
            <w:tcW w:w="3045" w:type="dxa"/>
            <w:gridSpan w:val="2"/>
            <w:vAlign w:val="top"/>
          </w:tcPr>
          <w:p w14:paraId="3B917B61">
            <w:pPr>
              <w:jc w:val="center"/>
              <w:rPr>
                <w:rFonts w:hint="default" w:ascii="Times New Roman" w:eastAsia="宋体"/>
                <w:b/>
                <w:bCs/>
                <w:sz w:val="28"/>
                <w:szCs w:val="28"/>
                <w:lang w:val="en-US"/>
              </w:rPr>
            </w:pPr>
            <w:r>
              <w:rPr>
                <w:rFonts w:ascii="Calibri Light"/>
                <w:sz w:val="28"/>
                <w:szCs w:val="28"/>
              </w:rPr>
              <w:t>YDXY-EC-SOP-0</w:t>
            </w:r>
            <w:r>
              <w:rPr>
                <w:rFonts w:hint="eastAsia" w:ascii="Calibri Light"/>
                <w:sz w:val="28"/>
                <w:szCs w:val="28"/>
                <w:lang w:val="en-US" w:eastAsia="zh-CN"/>
              </w:rPr>
              <w:t>20</w:t>
            </w:r>
            <w:r>
              <w:rPr>
                <w:rFonts w:ascii="Calibri Light"/>
                <w:sz w:val="28"/>
                <w:szCs w:val="28"/>
              </w:rPr>
              <w:t>-</w:t>
            </w:r>
            <w:r>
              <w:rPr>
                <w:rFonts w:hint="eastAsia" w:ascii="Calibri Light"/>
                <w:sz w:val="28"/>
                <w:szCs w:val="28"/>
                <w:lang w:val="en-US" w:eastAsia="zh-CN"/>
              </w:rPr>
              <w:t>4.0</w:t>
            </w:r>
          </w:p>
        </w:tc>
        <w:tc>
          <w:tcPr>
            <w:tcW w:w="1365" w:type="dxa"/>
            <w:vAlign w:val="top"/>
          </w:tcPr>
          <w:p w14:paraId="1303A103">
            <w:pPr>
              <w:jc w:val="center"/>
              <w:rPr>
                <w:rFonts w:hint="eastAsia" w:ascii="Times New Roman" w:eastAsia="宋体"/>
                <w:sz w:val="28"/>
                <w:szCs w:val="28"/>
              </w:rPr>
            </w:pPr>
            <w:r>
              <w:rPr>
                <w:rFonts w:hint="eastAsia" w:ascii="Times New Roman" w:eastAsia="宋体"/>
                <w:b/>
                <w:bCs/>
                <w:sz w:val="28"/>
                <w:szCs w:val="28"/>
              </w:rPr>
              <w:t>生效日期</w:t>
            </w:r>
          </w:p>
        </w:tc>
        <w:tc>
          <w:tcPr>
            <w:tcW w:w="2910" w:type="dxa"/>
            <w:gridSpan w:val="2"/>
            <w:vAlign w:val="top"/>
          </w:tcPr>
          <w:p w14:paraId="15A01814">
            <w:pPr>
              <w:jc w:val="center"/>
              <w:rPr>
                <w:rFonts w:hint="default" w:ascii="Times New Roman" w:eastAsia="宋体"/>
                <w:sz w:val="28"/>
                <w:szCs w:val="28"/>
                <w:lang w:val="en-US" w:eastAsia="zh-CN"/>
              </w:rPr>
            </w:pPr>
            <w:r>
              <w:rPr>
                <w:rFonts w:hint="eastAsia" w:ascii="Times New Roman" w:eastAsia="宋体"/>
                <w:sz w:val="28"/>
                <w:szCs w:val="28"/>
                <w:lang w:val="en-US" w:eastAsia="zh-CN"/>
              </w:rPr>
              <w:t>2026.9.1</w:t>
            </w:r>
            <w:bookmarkStart w:id="0" w:name="_GoBack"/>
            <w:bookmarkEnd w:id="0"/>
          </w:p>
        </w:tc>
      </w:tr>
      <w:tr w14:paraId="1AD8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1405" w:type="dxa"/>
          </w:tcPr>
          <w:p w14:paraId="4BD46192">
            <w:pPr>
              <w:rPr>
                <w:rFonts w:ascii="Times New Roman" w:hAnsi="Times New Roman" w:eastAsia="宋体"/>
              </w:rPr>
            </w:pPr>
            <w:r>
              <w:rPr>
                <w:rFonts w:hint="eastAsia" w:ascii="Times New Roman" w:eastAsia="宋体"/>
                <w:b/>
                <w:bCs/>
                <w:sz w:val="28"/>
                <w:szCs w:val="28"/>
                <w:lang w:val="en-US" w:eastAsia="zh-CN"/>
              </w:rPr>
              <w:t xml:space="preserve"> </w:t>
            </w:r>
            <w:r>
              <w:rPr>
                <w:rFonts w:hint="eastAsia" w:ascii="Times New Roman" w:eastAsia="宋体"/>
                <w:b/>
                <w:bCs/>
                <w:sz w:val="28"/>
                <w:szCs w:val="28"/>
              </w:rPr>
              <w:t>内</w:t>
            </w:r>
            <w:r>
              <w:rPr>
                <w:rFonts w:hint="eastAsia" w:ascii="Times New Roman" w:hAnsi="Times New Roman" w:eastAsia="宋体"/>
                <w:b/>
                <w:bCs/>
                <w:sz w:val="28"/>
                <w:szCs w:val="28"/>
              </w:rPr>
              <w:t xml:space="preserve">  </w:t>
            </w:r>
            <w:r>
              <w:rPr>
                <w:rFonts w:hint="eastAsia" w:ascii="Times New Roman" w:eastAsia="宋体"/>
                <w:b/>
                <w:bCs/>
                <w:sz w:val="28"/>
                <w:szCs w:val="28"/>
              </w:rPr>
              <w:t>容</w:t>
            </w:r>
          </w:p>
          <w:p w14:paraId="34472320">
            <w:pPr>
              <w:rPr>
                <w:rFonts w:ascii="Times New Roman" w:hAnsi="Times New Roman" w:eastAsia="宋体"/>
              </w:rPr>
            </w:pPr>
          </w:p>
          <w:p w14:paraId="4EFF924D">
            <w:pPr>
              <w:rPr>
                <w:rFonts w:ascii="Times New Roman" w:hAnsi="Times New Roman" w:eastAsia="宋体"/>
              </w:rPr>
            </w:pPr>
          </w:p>
          <w:p w14:paraId="4870615A">
            <w:pPr>
              <w:rPr>
                <w:rFonts w:ascii="Times New Roman" w:hAnsi="Times New Roman" w:eastAsia="宋体"/>
              </w:rPr>
            </w:pPr>
          </w:p>
          <w:p w14:paraId="6CE6BCA4">
            <w:pPr>
              <w:rPr>
                <w:rFonts w:ascii="Times New Roman" w:hAnsi="Times New Roman" w:eastAsia="宋体"/>
              </w:rPr>
            </w:pPr>
          </w:p>
          <w:p w14:paraId="0220DBCC">
            <w:pPr>
              <w:rPr>
                <w:rFonts w:ascii="Times New Roman" w:hAnsi="Times New Roman" w:eastAsia="宋体"/>
              </w:rPr>
            </w:pPr>
          </w:p>
          <w:p w14:paraId="1C6E954C">
            <w:pPr>
              <w:rPr>
                <w:rFonts w:ascii="Times New Roman" w:hAnsi="Times New Roman" w:eastAsia="宋体"/>
              </w:rPr>
            </w:pPr>
          </w:p>
          <w:p w14:paraId="15578C34">
            <w:pPr>
              <w:rPr>
                <w:rFonts w:ascii="Times New Roman" w:hAnsi="Times New Roman" w:eastAsia="宋体"/>
              </w:rPr>
            </w:pPr>
          </w:p>
          <w:p w14:paraId="3C13521A">
            <w:pPr>
              <w:rPr>
                <w:rFonts w:ascii="Times New Roman" w:hAnsi="Times New Roman" w:eastAsia="宋体"/>
              </w:rPr>
            </w:pPr>
          </w:p>
          <w:p w14:paraId="41B33AA1">
            <w:pPr>
              <w:rPr>
                <w:rFonts w:ascii="Times New Roman" w:hAnsi="Times New Roman" w:eastAsia="宋体"/>
              </w:rPr>
            </w:pPr>
          </w:p>
          <w:p w14:paraId="4D4A78EB">
            <w:pPr>
              <w:rPr>
                <w:rFonts w:ascii="Times New Roman" w:hAnsi="Times New Roman" w:eastAsia="宋体"/>
              </w:rPr>
            </w:pPr>
          </w:p>
          <w:p w14:paraId="49113140">
            <w:pPr>
              <w:rPr>
                <w:rFonts w:ascii="Times New Roman" w:hAnsi="Times New Roman" w:eastAsia="宋体"/>
              </w:rPr>
            </w:pPr>
          </w:p>
          <w:p w14:paraId="656470E4">
            <w:pPr>
              <w:rPr>
                <w:rFonts w:ascii="Times New Roman" w:hAnsi="Times New Roman" w:eastAsia="宋体"/>
              </w:rPr>
            </w:pPr>
          </w:p>
          <w:p w14:paraId="312AE099">
            <w:pPr>
              <w:rPr>
                <w:rFonts w:ascii="Times New Roman" w:hAnsi="Times New Roman" w:eastAsia="宋体"/>
              </w:rPr>
            </w:pPr>
          </w:p>
          <w:p w14:paraId="32017019">
            <w:pPr>
              <w:rPr>
                <w:rFonts w:ascii="Times New Roman" w:hAnsi="Times New Roman" w:eastAsia="宋体"/>
              </w:rPr>
            </w:pPr>
          </w:p>
          <w:p w14:paraId="2781FDB0">
            <w:pPr>
              <w:rPr>
                <w:rFonts w:ascii="Times New Roman" w:hAnsi="Times New Roman" w:eastAsia="宋体"/>
              </w:rPr>
            </w:pPr>
          </w:p>
          <w:p w14:paraId="19AB9AAA">
            <w:pPr>
              <w:rPr>
                <w:rFonts w:ascii="Times New Roman" w:hAnsi="Times New Roman" w:eastAsia="宋体"/>
              </w:rPr>
            </w:pPr>
          </w:p>
          <w:p w14:paraId="23CD1F07">
            <w:pPr>
              <w:rPr>
                <w:rFonts w:ascii="Times New Roman" w:hAnsi="Times New Roman" w:eastAsia="宋体"/>
              </w:rPr>
            </w:pPr>
          </w:p>
          <w:p w14:paraId="6F2D7310">
            <w:pPr>
              <w:rPr>
                <w:rFonts w:ascii="Times New Roman" w:hAnsi="Times New Roman" w:eastAsia="宋体"/>
              </w:rPr>
            </w:pPr>
          </w:p>
          <w:p w14:paraId="7C3B41B3">
            <w:pPr>
              <w:rPr>
                <w:rFonts w:ascii="Times New Roman" w:hAnsi="Times New Roman" w:eastAsia="宋体"/>
              </w:rPr>
            </w:pPr>
          </w:p>
          <w:p w14:paraId="32BBB537">
            <w:pPr>
              <w:rPr>
                <w:rFonts w:ascii="Times New Roman" w:hAnsi="Times New Roman" w:eastAsia="宋体"/>
              </w:rPr>
            </w:pPr>
          </w:p>
          <w:p w14:paraId="49F98DFD">
            <w:pPr>
              <w:jc w:val="center"/>
              <w:rPr>
                <w:rFonts w:ascii="Times New Roman" w:hAnsi="Times New Roman" w:eastAsia="宋体"/>
              </w:rPr>
            </w:pPr>
          </w:p>
        </w:tc>
        <w:tc>
          <w:tcPr>
            <w:tcW w:w="7320" w:type="dxa"/>
            <w:gridSpan w:val="5"/>
          </w:tcPr>
          <w:p w14:paraId="206698B1">
            <w:pPr>
              <w:numPr>
                <w:ilvl w:val="0"/>
                <w:numId w:val="1"/>
              </w:numPr>
              <w:rPr>
                <w:rFonts w:hint="eastAsia" w:ascii="宋体" w:hAnsi="宋体" w:eastAsia="宋体" w:cs="宋体"/>
                <w:sz w:val="28"/>
                <w:szCs w:val="28"/>
                <w:lang w:eastAsia="zh-CN"/>
              </w:rPr>
            </w:pPr>
            <w:r>
              <w:rPr>
                <w:rFonts w:hint="eastAsia" w:ascii="宋体" w:hAnsi="宋体" w:eastAsia="宋体" w:cs="宋体"/>
                <w:sz w:val="28"/>
                <w:szCs w:val="28"/>
                <w:lang w:eastAsia="zh-CN"/>
              </w:rPr>
              <w:t>目的</w:t>
            </w:r>
          </w:p>
          <w:p w14:paraId="44D16A2B">
            <w:pPr>
              <w:numPr>
                <w:ilvl w:val="0"/>
                <w:numId w:val="0"/>
              </w:numPr>
              <w:ind w:firstLine="560" w:firstLineChars="200"/>
              <w:rPr>
                <w:rFonts w:hint="eastAsia" w:ascii="宋体" w:hAnsi="宋体" w:eastAsia="宋体" w:cs="宋体"/>
                <w:sz w:val="28"/>
                <w:szCs w:val="28"/>
                <w:lang w:eastAsia="zh-CN"/>
              </w:rPr>
            </w:pPr>
            <w:r>
              <w:rPr>
                <w:rFonts w:hint="eastAsia" w:ascii="宋体" w:hAnsi="宋体" w:eastAsia="宋体" w:cs="宋体"/>
                <w:sz w:val="28"/>
                <w:szCs w:val="28"/>
              </w:rPr>
              <w:t>为指导申请人</w:t>
            </w:r>
            <w:r>
              <w:rPr>
                <w:rFonts w:hint="eastAsia" w:ascii="宋体" w:hAnsi="宋体" w:eastAsia="宋体" w:cs="宋体"/>
                <w:sz w:val="28"/>
                <w:szCs w:val="28"/>
                <w:lang w:eastAsia="zh-CN"/>
              </w:rPr>
              <w:t>主要研究者/项目（课题）负责人</w:t>
            </w:r>
            <w:r>
              <w:rPr>
                <w:rFonts w:hint="eastAsia" w:ascii="宋体" w:hAnsi="宋体" w:eastAsia="宋体" w:cs="宋体"/>
                <w:sz w:val="28"/>
                <w:szCs w:val="28"/>
              </w:rPr>
              <w:t>/申办者</w:t>
            </w:r>
            <w:r>
              <w:rPr>
                <w:rFonts w:hint="eastAsia" w:ascii="宋体" w:hAnsi="宋体" w:eastAsia="宋体" w:cs="宋体"/>
                <w:sz w:val="28"/>
                <w:szCs w:val="28"/>
                <w:lang w:eastAsia="zh-CN"/>
              </w:rPr>
              <w:t>）</w:t>
            </w:r>
            <w:r>
              <w:rPr>
                <w:rFonts w:hint="eastAsia" w:ascii="宋体" w:hAnsi="宋体" w:eastAsia="宋体" w:cs="宋体"/>
                <w:sz w:val="28"/>
                <w:szCs w:val="28"/>
              </w:rPr>
              <w:t>报告临床</w:t>
            </w:r>
            <w:r>
              <w:rPr>
                <w:rFonts w:hint="eastAsia" w:ascii="宋体" w:hAnsi="宋体" w:eastAsia="宋体" w:cs="宋体"/>
                <w:sz w:val="28"/>
                <w:szCs w:val="28"/>
                <w:lang w:eastAsia="zh-CN"/>
              </w:rPr>
              <w:t>研究</w:t>
            </w:r>
            <w:r>
              <w:rPr>
                <w:rFonts w:hint="eastAsia" w:ascii="宋体" w:hAnsi="宋体" w:eastAsia="宋体" w:cs="宋体"/>
                <w:sz w:val="28"/>
                <w:szCs w:val="28"/>
              </w:rPr>
              <w:t>过程中的安全性事件及信息</w:t>
            </w:r>
            <w:r>
              <w:rPr>
                <w:rFonts w:hint="eastAsia" w:ascii="宋体" w:hAnsi="宋体" w:eastAsia="宋体" w:cs="宋体"/>
                <w:sz w:val="28"/>
                <w:szCs w:val="28"/>
                <w:lang w:eastAsia="zh-CN"/>
              </w:rPr>
              <w:t>，</w:t>
            </w:r>
            <w:r>
              <w:rPr>
                <w:rFonts w:hint="eastAsia" w:ascii="宋体" w:hAnsi="宋体" w:eastAsia="宋体" w:cs="宋体"/>
                <w:sz w:val="28"/>
                <w:szCs w:val="28"/>
              </w:rPr>
              <w:t>特制定本</w:t>
            </w:r>
            <w:r>
              <w:rPr>
                <w:rFonts w:hint="eastAsia" w:ascii="宋体" w:hAnsi="宋体" w:eastAsia="宋体" w:cs="宋体"/>
                <w:sz w:val="28"/>
                <w:szCs w:val="28"/>
                <w:lang w:val="en-US" w:eastAsia="zh-CN"/>
              </w:rPr>
              <w:t>SOP</w:t>
            </w:r>
            <w:r>
              <w:rPr>
                <w:rFonts w:hint="eastAsia" w:ascii="宋体" w:hAnsi="宋体" w:eastAsia="宋体" w:cs="宋体"/>
                <w:sz w:val="28"/>
                <w:szCs w:val="28"/>
                <w:lang w:eastAsia="zh-CN"/>
              </w:rPr>
              <w:t>。</w:t>
            </w:r>
          </w:p>
          <w:p w14:paraId="763A33B6">
            <w:pPr>
              <w:numPr>
                <w:ilvl w:val="0"/>
                <w:numId w:val="1"/>
              </w:numPr>
              <w:ind w:left="0" w:leftChars="0" w:firstLine="0" w:firstLineChars="0"/>
              <w:rPr>
                <w:rFonts w:hint="eastAsia" w:ascii="宋体" w:hAnsi="宋体" w:eastAsia="宋体" w:cs="宋体"/>
                <w:sz w:val="28"/>
                <w:szCs w:val="28"/>
                <w:lang w:eastAsia="zh-CN"/>
              </w:rPr>
            </w:pPr>
            <w:r>
              <w:rPr>
                <w:rFonts w:hint="eastAsia" w:ascii="宋体" w:hAnsi="宋体" w:eastAsia="宋体" w:cs="宋体"/>
                <w:sz w:val="28"/>
                <w:szCs w:val="28"/>
                <w:lang w:eastAsia="zh-CN"/>
              </w:rPr>
              <w:t>范围</w:t>
            </w:r>
          </w:p>
          <w:p w14:paraId="246CD68C">
            <w:pPr>
              <w:numPr>
                <w:ilvl w:val="0"/>
                <w:numId w:val="0"/>
              </w:numPr>
              <w:ind w:leftChars="0"/>
              <w:rPr>
                <w:rFonts w:hint="eastAsia" w:ascii="Times New Roman" w:eastAsia="宋体"/>
                <w:sz w:val="28"/>
                <w:szCs w:val="28"/>
                <w:lang w:val="en-US" w:eastAsia="zh-CN"/>
              </w:rPr>
            </w:pPr>
            <w:r>
              <w:rPr>
                <w:rFonts w:hint="eastAsia" w:ascii="宋体" w:hAnsi="宋体" w:eastAsia="宋体" w:cs="宋体"/>
                <w:sz w:val="28"/>
                <w:szCs w:val="28"/>
                <w:lang w:val="en-US" w:eastAsia="zh-CN"/>
              </w:rPr>
              <w:t xml:space="preserve">    本SOP适用于</w:t>
            </w:r>
            <w:r>
              <w:rPr>
                <w:rFonts w:hint="eastAsia" w:ascii="宋体" w:hAnsi="宋体" w:eastAsia="宋体" w:cs="宋体"/>
                <w:b w:val="0"/>
                <w:bCs w:val="0"/>
                <w:sz w:val="28"/>
                <w:szCs w:val="28"/>
              </w:rPr>
              <w:t>临床</w:t>
            </w:r>
            <w:r>
              <w:rPr>
                <w:rFonts w:hint="eastAsia" w:ascii="宋体" w:hAnsi="宋体" w:eastAsia="宋体" w:cs="宋体"/>
                <w:b w:val="0"/>
                <w:bCs w:val="0"/>
                <w:sz w:val="28"/>
                <w:szCs w:val="28"/>
                <w:lang w:val="en-US" w:eastAsia="zh-CN"/>
              </w:rPr>
              <w:t>研究</w:t>
            </w:r>
            <w:r>
              <w:rPr>
                <w:rFonts w:hint="eastAsia" w:ascii="宋体" w:hAnsi="宋体" w:eastAsia="宋体" w:cs="宋体"/>
                <w:b w:val="0"/>
                <w:bCs w:val="0"/>
                <w:sz w:val="28"/>
                <w:szCs w:val="28"/>
              </w:rPr>
              <w:t>安全性事件/信息报告</w:t>
            </w:r>
            <w:r>
              <w:rPr>
                <w:rFonts w:hint="eastAsia" w:ascii="宋体" w:hAnsi="宋体" w:eastAsia="宋体" w:cs="宋体"/>
                <w:b w:val="0"/>
                <w:bCs w:val="0"/>
                <w:sz w:val="28"/>
                <w:szCs w:val="28"/>
                <w:lang w:eastAsia="zh-CN"/>
              </w:rPr>
              <w:t>。</w:t>
            </w:r>
          </w:p>
          <w:p w14:paraId="705DB4B3">
            <w:pPr>
              <w:rPr>
                <w:rFonts w:hint="eastAsia" w:ascii="宋体" w:hAnsi="宋体" w:eastAsia="宋体" w:cs="宋体"/>
                <w:b w:val="0"/>
                <w:bCs w:val="0"/>
                <w:sz w:val="28"/>
                <w:szCs w:val="28"/>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三</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安全性事件/信息类别</w:t>
            </w:r>
          </w:p>
          <w:p w14:paraId="6D96E747">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1</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 xml:space="preserve">可疑且非预期严重不良反应(SUSAR) </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满足可疑、非预期和重三个标准的不良反应。可疑：引起不良反应的合理可能性。非预期:不良反应的性质或严重程度同已有的药品信息(例如研究者手册或按照适用监管要求的其替代文件;参见RSI)不符。严重:见SAE的定义。</w:t>
            </w:r>
          </w:p>
          <w:p w14:paraId="4AAB6D3D">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2</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 xml:space="preserve">药物研发期间安全性更新报告(DSUR) </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研发期间安全性更新报告（DSUR），是适用于ICH区域内，处于研发阶段药物（含上市后继续开展研究药物）定期安全性报告统一标准</w:t>
            </w:r>
            <w:r>
              <w:rPr>
                <w:rFonts w:hint="eastAsia" w:ascii="宋体" w:hAnsi="宋体" w:eastAsia="宋体" w:cs="宋体"/>
                <w:b w:val="0"/>
                <w:bCs w:val="0"/>
                <w:sz w:val="28"/>
                <w:szCs w:val="28"/>
                <w:lang w:eastAsia="zh-CN"/>
              </w:rPr>
              <w:t>。</w:t>
            </w:r>
          </w:p>
          <w:p w14:paraId="1CF71357">
            <w:pPr>
              <w:ind w:firstLine="560" w:firstLineChars="20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3、</w:t>
            </w:r>
            <w:r>
              <w:rPr>
                <w:rFonts w:hint="eastAsia" w:ascii="宋体" w:hAnsi="宋体" w:eastAsia="宋体" w:cs="宋体"/>
                <w:b w:val="0"/>
                <w:bCs w:val="0"/>
                <w:sz w:val="28"/>
                <w:szCs w:val="28"/>
              </w:rPr>
              <w:t>严重不良事件(</w:t>
            </w:r>
            <w:r>
              <w:rPr>
                <w:rFonts w:hint="eastAsia" w:ascii="宋体" w:hAnsi="宋体" w:eastAsia="宋体" w:cs="宋体"/>
                <w:b w:val="0"/>
                <w:bCs w:val="0"/>
                <w:sz w:val="28"/>
                <w:szCs w:val="28"/>
                <w:lang w:val="en-US" w:eastAsia="zh-CN"/>
              </w:rPr>
              <w:t>药物</w:t>
            </w:r>
            <w:r>
              <w:rPr>
                <w:rFonts w:hint="eastAsia" w:ascii="宋体" w:hAnsi="宋体" w:eastAsia="宋体" w:cs="宋体"/>
                <w:b w:val="0"/>
                <w:bCs w:val="0"/>
                <w:sz w:val="28"/>
                <w:szCs w:val="28"/>
              </w:rPr>
              <w:t xml:space="preserve">SAE) </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在任何剂量下出现的被认为是严重的不利的医学事件:导致死亡</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危及生命</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需要住院治疗或者延长住院时间</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导致永久或者严重的残疾或者功能丧失</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先天性异常或者出生缺陷(参见ICHE2A)</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对于虽然可能不会立即危及生命、导致死亡或住院，但可能损害试验参与者或可能需要干预以防止严重后果发生的重要医学事件(参见ICHE2A和E19)，通常应被视为严重不良事件。</w:t>
            </w:r>
          </w:p>
          <w:p w14:paraId="238CAC7A">
            <w:pPr>
              <w:ind w:firstLine="560" w:firstLineChars="20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4、严重不良事件</w:t>
            </w:r>
            <w:r>
              <w:rPr>
                <w:rFonts w:hint="eastAsia" w:ascii="宋体" w:hAnsi="宋体" w:eastAsia="宋体" w:cs="宋体"/>
                <w:b w:val="0"/>
                <w:bCs w:val="0"/>
                <w:sz w:val="28"/>
                <w:szCs w:val="28"/>
              </w:rPr>
              <w:t>(</w:t>
            </w:r>
            <w:r>
              <w:rPr>
                <w:rFonts w:hint="eastAsia" w:ascii="宋体" w:hAnsi="宋体" w:eastAsia="宋体" w:cs="宋体"/>
                <w:b w:val="0"/>
                <w:bCs w:val="0"/>
                <w:sz w:val="28"/>
                <w:szCs w:val="28"/>
                <w:lang w:val="en-US" w:eastAsia="zh-CN"/>
              </w:rPr>
              <w:t>器械</w:t>
            </w:r>
            <w:r>
              <w:rPr>
                <w:rFonts w:hint="eastAsia" w:ascii="宋体" w:hAnsi="宋体" w:eastAsia="宋体" w:cs="宋体"/>
                <w:b w:val="0"/>
                <w:bCs w:val="0"/>
                <w:sz w:val="28"/>
                <w:szCs w:val="28"/>
              </w:rPr>
              <w:t>SAE)</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是指医疗器械临床试验过程中发生的导致死亡或者健康状况严重恶化，包括致命的疾病或者伤害、身体结构或者身体功能的永久性缺陷、需要住院治疗或者延长住院时间、 需要采取医疗措施以避免对身体结构或者身体功能造成永久性缺陷；导致胎儿窘迫、胎儿死亡或者先天性异常、先天缺损等事件。</w:t>
            </w:r>
          </w:p>
          <w:p w14:paraId="4FF2191A">
            <w:pPr>
              <w:overflowPunct w:val="0"/>
              <w:spacing w:line="560" w:lineRule="exact"/>
              <w:ind w:firstLine="560" w:firstLineChars="200"/>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5、</w:t>
            </w:r>
            <w:r>
              <w:rPr>
                <w:rFonts w:hint="eastAsia" w:ascii="宋体" w:hAnsi="宋体" w:eastAsia="宋体" w:cs="宋体"/>
                <w:color w:val="000000"/>
                <w:sz w:val="28"/>
                <w:szCs w:val="28"/>
              </w:rPr>
              <w:t>其他潜在的严重安全性风险信息</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指明显影响药</w:t>
            </w:r>
            <w:r>
              <w:rPr>
                <w:rFonts w:hint="eastAsia" w:ascii="宋体" w:hAnsi="宋体" w:eastAsia="宋体" w:cs="宋体"/>
                <w:color w:val="000000"/>
                <w:sz w:val="28"/>
                <w:szCs w:val="28"/>
                <w:lang w:val="en-US" w:eastAsia="zh-CN"/>
              </w:rPr>
              <w:t>物</w:t>
            </w:r>
            <w:r>
              <w:rPr>
                <w:rFonts w:hint="eastAsia" w:ascii="宋体" w:hAnsi="宋体" w:eastAsia="宋体" w:cs="宋体"/>
                <w:color w:val="000000"/>
                <w:sz w:val="28"/>
                <w:szCs w:val="28"/>
              </w:rPr>
              <w:t>获益风险评估、可能改变药</w:t>
            </w:r>
            <w:r>
              <w:rPr>
                <w:rFonts w:hint="eastAsia" w:ascii="宋体" w:hAnsi="宋体" w:eastAsia="宋体" w:cs="宋体"/>
                <w:color w:val="000000"/>
                <w:sz w:val="28"/>
                <w:szCs w:val="28"/>
                <w:lang w:val="en-US" w:eastAsia="zh-CN"/>
              </w:rPr>
              <w:t>物</w:t>
            </w:r>
            <w:r>
              <w:rPr>
                <w:rFonts w:hint="eastAsia" w:ascii="宋体" w:hAnsi="宋体" w:eastAsia="宋体" w:cs="宋体"/>
                <w:color w:val="000000"/>
                <w:sz w:val="28"/>
                <w:szCs w:val="28"/>
              </w:rPr>
              <w:t>用法或者影响总体药</w:t>
            </w:r>
            <w:r>
              <w:rPr>
                <w:rFonts w:hint="eastAsia" w:ascii="宋体" w:hAnsi="宋体" w:eastAsia="宋体" w:cs="宋体"/>
                <w:color w:val="000000"/>
                <w:sz w:val="28"/>
                <w:szCs w:val="28"/>
                <w:lang w:val="en-US" w:eastAsia="zh-CN"/>
              </w:rPr>
              <w:t>物</w:t>
            </w:r>
            <w:r>
              <w:rPr>
                <w:rFonts w:hint="eastAsia" w:ascii="宋体" w:hAnsi="宋体" w:eastAsia="宋体" w:cs="宋体"/>
                <w:color w:val="000000"/>
                <w:sz w:val="28"/>
                <w:szCs w:val="28"/>
              </w:rPr>
              <w:t>研发进程的信息。</w:t>
            </w:r>
          </w:p>
          <w:p w14:paraId="1E901B8D">
            <w:pPr>
              <w:rPr>
                <w:rFonts w:hint="eastAsia" w:ascii="宋体" w:hAnsi="宋体" w:eastAsia="宋体" w:cs="宋体"/>
                <w:b w:val="0"/>
                <w:bCs w:val="0"/>
                <w:sz w:val="28"/>
                <w:szCs w:val="28"/>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四</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报告要求</w:t>
            </w:r>
          </w:p>
          <w:p w14:paraId="38A01E39">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rPr>
              <w:t>报告时限及要求</w:t>
            </w:r>
          </w:p>
          <w:p w14:paraId="52EA4C59">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rPr>
              <w:t>本中心SUSAR</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药物GCP适用</w:t>
            </w:r>
            <w:r>
              <w:rPr>
                <w:rFonts w:hint="eastAsia" w:ascii="宋体" w:hAnsi="宋体" w:eastAsia="宋体" w:cs="宋体"/>
                <w:b w:val="0"/>
                <w:bCs w:val="0"/>
                <w:sz w:val="28"/>
                <w:szCs w:val="28"/>
                <w:lang w:eastAsia="zh-CN"/>
              </w:rPr>
              <w:t>）：</w:t>
            </w:r>
          </w:p>
          <w:p w14:paraId="63B27CCA">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rPr>
              <w:t>申办者对安全性事件分析评估并确定为SUSAR后</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应快速报告伦理</w:t>
            </w:r>
            <w:r>
              <w:rPr>
                <w:rFonts w:hint="eastAsia" w:ascii="宋体" w:hAnsi="宋体" w:eastAsia="宋体" w:cs="宋体"/>
                <w:b w:val="0"/>
                <w:bCs w:val="0"/>
                <w:sz w:val="28"/>
                <w:szCs w:val="28"/>
                <w:lang w:val="en-US" w:eastAsia="zh-CN"/>
              </w:rPr>
              <w:t>审查</w:t>
            </w:r>
            <w:r>
              <w:rPr>
                <w:rFonts w:hint="eastAsia" w:ascii="宋体" w:hAnsi="宋体" w:eastAsia="宋体" w:cs="宋体"/>
                <w:b w:val="0"/>
                <w:bCs w:val="0"/>
                <w:sz w:val="28"/>
                <w:szCs w:val="28"/>
              </w:rPr>
              <w:t>委员会报告。</w:t>
            </w:r>
          </w:p>
          <w:p w14:paraId="0446D3E3">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报告时限参考</w:t>
            </w:r>
            <w:r>
              <w:rPr>
                <w:rFonts w:hint="eastAsia" w:ascii="宋体" w:hAnsi="宋体" w:eastAsia="宋体" w:cs="宋体"/>
                <w:b w:val="0"/>
                <w:bCs w:val="0"/>
                <w:sz w:val="28"/>
                <w:szCs w:val="28"/>
                <w:lang w:val="en-US" w:eastAsia="zh-CN"/>
              </w:rPr>
              <w:t>相关法规要求</w:t>
            </w:r>
            <w:r>
              <w:rPr>
                <w:rFonts w:hint="eastAsia" w:ascii="宋体" w:hAnsi="宋体" w:eastAsia="宋体" w:cs="宋体"/>
                <w:b w:val="0"/>
                <w:bCs w:val="0"/>
                <w:sz w:val="28"/>
                <w:szCs w:val="28"/>
                <w:lang w:eastAsia="zh-CN"/>
              </w:rPr>
              <w:t>。</w:t>
            </w:r>
          </w:p>
          <w:p w14:paraId="2CCFE60A">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2）</w:t>
            </w:r>
            <w:r>
              <w:rPr>
                <w:rFonts w:hint="eastAsia" w:ascii="宋体" w:hAnsi="宋体" w:eastAsia="宋体" w:cs="宋体"/>
                <w:b w:val="0"/>
                <w:bCs w:val="0"/>
                <w:sz w:val="28"/>
                <w:szCs w:val="28"/>
              </w:rPr>
              <w:t>其他来源SUSAR</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药物GCP适用</w:t>
            </w:r>
            <w:r>
              <w:rPr>
                <w:rFonts w:hint="eastAsia" w:ascii="宋体" w:hAnsi="宋体" w:eastAsia="宋体" w:cs="宋体"/>
                <w:b w:val="0"/>
                <w:bCs w:val="0"/>
                <w:sz w:val="28"/>
                <w:szCs w:val="28"/>
                <w:lang w:eastAsia="zh-CN"/>
              </w:rPr>
              <w:t>）：</w:t>
            </w:r>
          </w:p>
          <w:p w14:paraId="62201770">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申办者应及时汇总报告至</w:t>
            </w:r>
            <w:r>
              <w:rPr>
                <w:rFonts w:hint="eastAsia" w:ascii="宋体" w:hAnsi="宋体" w:eastAsia="宋体" w:cs="宋体"/>
                <w:b w:val="0"/>
                <w:bCs w:val="0"/>
                <w:sz w:val="28"/>
                <w:szCs w:val="28"/>
                <w:lang w:eastAsia="zh-CN"/>
              </w:rPr>
              <w:t>伦理审查委员会（</w:t>
            </w:r>
            <w:r>
              <w:rPr>
                <w:rFonts w:hint="eastAsia" w:ascii="宋体" w:hAnsi="宋体" w:eastAsia="宋体" w:cs="宋体"/>
                <w:b w:val="0"/>
                <w:bCs w:val="0"/>
                <w:sz w:val="28"/>
                <w:szCs w:val="28"/>
                <w:lang w:val="en-US" w:eastAsia="zh-CN"/>
              </w:rPr>
              <w:t>一般为</w:t>
            </w:r>
            <w:r>
              <w:rPr>
                <w:rFonts w:hint="eastAsia" w:ascii="宋体" w:hAnsi="宋体" w:eastAsia="宋体" w:cs="宋体"/>
                <w:b w:val="0"/>
                <w:bCs w:val="0"/>
                <w:sz w:val="28"/>
                <w:szCs w:val="28"/>
                <w:lang w:eastAsia="zh-CN"/>
              </w:rPr>
              <w:t>每三个月汇总</w:t>
            </w:r>
            <w:r>
              <w:rPr>
                <w:rFonts w:hint="eastAsia" w:ascii="宋体" w:hAnsi="宋体" w:eastAsia="宋体" w:cs="宋体"/>
                <w:b w:val="0"/>
                <w:bCs w:val="0"/>
                <w:sz w:val="28"/>
                <w:szCs w:val="28"/>
                <w:lang w:val="en-US" w:eastAsia="zh-CN"/>
              </w:rPr>
              <w:t>递交</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从获得本院伦理批件后开始递交</w:t>
            </w:r>
            <w:r>
              <w:rPr>
                <w:rFonts w:hint="eastAsia" w:ascii="宋体" w:hAnsi="宋体" w:eastAsia="宋体" w:cs="宋体"/>
                <w:b w:val="0"/>
                <w:bCs w:val="0"/>
                <w:sz w:val="28"/>
                <w:szCs w:val="28"/>
                <w:lang w:eastAsia="zh-CN"/>
              </w:rPr>
              <w:t>）</w:t>
            </w:r>
          </w:p>
          <w:p w14:paraId="633CBDCD">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（3）</w:t>
            </w:r>
            <w:r>
              <w:rPr>
                <w:rFonts w:hint="eastAsia"/>
                <w:sz w:val="28"/>
                <w:szCs w:val="28"/>
              </w:rPr>
              <w:t>本院</w:t>
            </w:r>
            <w:r>
              <w:rPr>
                <w:rFonts w:hint="eastAsia"/>
                <w:sz w:val="28"/>
                <w:szCs w:val="28"/>
                <w:lang w:val="en-US" w:eastAsia="zh-CN"/>
              </w:rPr>
              <w:t>药物</w:t>
            </w:r>
            <w:r>
              <w:rPr>
                <w:rFonts w:hint="eastAsia" w:ascii="宋体" w:hAnsi="宋体" w:eastAsia="宋体" w:cs="宋体"/>
                <w:b w:val="0"/>
                <w:bCs w:val="0"/>
                <w:sz w:val="28"/>
                <w:szCs w:val="28"/>
                <w:lang w:eastAsia="zh-CN"/>
              </w:rPr>
              <w:t>SAE（</w:t>
            </w:r>
            <w:r>
              <w:rPr>
                <w:rFonts w:hint="eastAsia" w:ascii="宋体" w:hAnsi="宋体" w:eastAsia="宋体" w:cs="宋体"/>
                <w:b w:val="0"/>
                <w:bCs w:val="0"/>
                <w:sz w:val="28"/>
                <w:szCs w:val="28"/>
                <w:lang w:val="en-US" w:eastAsia="zh-CN"/>
              </w:rPr>
              <w:t>药物GCP适用，IIT项目可参考执行</w:t>
            </w:r>
            <w:r>
              <w:rPr>
                <w:rFonts w:hint="eastAsia" w:ascii="宋体" w:hAnsi="宋体" w:eastAsia="宋体" w:cs="宋体"/>
                <w:b w:val="0"/>
                <w:bCs w:val="0"/>
                <w:sz w:val="28"/>
                <w:szCs w:val="28"/>
                <w:lang w:eastAsia="zh-CN"/>
              </w:rPr>
              <w:t>）：</w:t>
            </w:r>
          </w:p>
          <w:p w14:paraId="0E504691">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如</w:t>
            </w:r>
            <w:r>
              <w:rPr>
                <w:rFonts w:hint="eastAsia" w:ascii="宋体" w:hAnsi="宋体" w:eastAsia="宋体" w:cs="宋体"/>
                <w:b w:val="0"/>
                <w:bCs w:val="0"/>
                <w:sz w:val="28"/>
                <w:szCs w:val="28"/>
                <w:lang w:val="en-US" w:eastAsia="zh-CN"/>
              </w:rPr>
              <w:t>在</w:t>
            </w:r>
            <w:r>
              <w:rPr>
                <w:rFonts w:hint="eastAsia"/>
                <w:sz w:val="28"/>
                <w:szCs w:val="28"/>
              </w:rPr>
              <w:t>本院</w:t>
            </w:r>
            <w:r>
              <w:rPr>
                <w:rFonts w:hint="eastAsia"/>
                <w:sz w:val="28"/>
                <w:szCs w:val="28"/>
                <w:lang w:val="en-US" w:eastAsia="zh-CN"/>
              </w:rPr>
              <w:t>发生药物</w:t>
            </w:r>
            <w:r>
              <w:rPr>
                <w:rFonts w:hint="eastAsia" w:ascii="宋体" w:hAnsi="宋体" w:eastAsia="宋体" w:cs="宋体"/>
                <w:b w:val="0"/>
                <w:bCs w:val="0"/>
                <w:sz w:val="28"/>
                <w:szCs w:val="28"/>
                <w:lang w:eastAsia="zh-CN"/>
              </w:rPr>
              <w:t>SAE，</w:t>
            </w:r>
            <w:r>
              <w:rPr>
                <w:rFonts w:hint="eastAsia" w:ascii="宋体" w:hAnsi="宋体" w:eastAsia="宋体" w:cs="宋体"/>
                <w:sz w:val="28"/>
                <w:szCs w:val="28"/>
                <w:lang w:eastAsia="zh-CN"/>
              </w:rPr>
              <w:t>主要研究者</w:t>
            </w:r>
            <w:r>
              <w:rPr>
                <w:rFonts w:hint="eastAsia" w:ascii="宋体" w:hAnsi="宋体" w:eastAsia="宋体" w:cs="宋体"/>
                <w:b w:val="0"/>
                <w:bCs w:val="0"/>
                <w:sz w:val="28"/>
                <w:szCs w:val="28"/>
                <w:lang w:eastAsia="zh-CN"/>
              </w:rPr>
              <w:t>应</w:t>
            </w:r>
            <w:r>
              <w:rPr>
                <w:rFonts w:hint="eastAsia" w:ascii="宋体" w:hAnsi="宋体" w:eastAsia="宋体" w:cs="宋体"/>
                <w:b w:val="0"/>
                <w:bCs w:val="0"/>
                <w:sz w:val="28"/>
                <w:szCs w:val="28"/>
                <w:lang w:val="en-US" w:eastAsia="zh-CN"/>
              </w:rPr>
              <w:t>按照方案要求时限</w:t>
            </w:r>
            <w:r>
              <w:rPr>
                <w:rFonts w:hint="eastAsia" w:ascii="宋体" w:hAnsi="宋体" w:eastAsia="宋体" w:cs="宋体"/>
                <w:b w:val="0"/>
                <w:bCs w:val="0"/>
                <w:sz w:val="28"/>
                <w:szCs w:val="28"/>
                <w:lang w:eastAsia="zh-CN"/>
              </w:rPr>
              <w:t>及时报告至伦理审查委员会。</w:t>
            </w:r>
          </w:p>
          <w:p w14:paraId="2BDF10B0">
            <w:pPr>
              <w:numPr>
                <w:ilvl w:val="0"/>
                <w:numId w:val="2"/>
              </w:numPr>
              <w:ind w:firstLine="560" w:firstLineChars="200"/>
              <w:rPr>
                <w:rFonts w:hint="eastAsia" w:ascii="宋体" w:hAnsi="宋体" w:eastAsia="宋体" w:cs="宋体"/>
                <w:b w:val="0"/>
                <w:bCs w:val="0"/>
                <w:sz w:val="28"/>
                <w:szCs w:val="28"/>
                <w:lang w:eastAsia="zh-CN"/>
              </w:rPr>
            </w:pPr>
            <w:r>
              <w:rPr>
                <w:rFonts w:hint="eastAsia"/>
                <w:sz w:val="28"/>
                <w:szCs w:val="28"/>
                <w:lang w:val="en-US" w:eastAsia="zh-CN"/>
              </w:rPr>
              <w:t>医疗</w:t>
            </w:r>
            <w:r>
              <w:rPr>
                <w:rFonts w:hint="eastAsia" w:ascii="宋体" w:hAnsi="宋体" w:eastAsia="宋体" w:cs="宋体"/>
                <w:b w:val="0"/>
                <w:bCs w:val="0"/>
                <w:sz w:val="28"/>
                <w:szCs w:val="28"/>
                <w:lang w:val="en-US" w:eastAsia="zh-CN"/>
              </w:rPr>
              <w:t>器械</w:t>
            </w:r>
            <w:r>
              <w:rPr>
                <w:rFonts w:hint="eastAsia" w:ascii="宋体" w:hAnsi="宋体" w:eastAsia="宋体" w:cs="宋体"/>
                <w:b w:val="0"/>
                <w:bCs w:val="0"/>
                <w:sz w:val="28"/>
                <w:szCs w:val="28"/>
                <w:lang w:eastAsia="zh-CN"/>
              </w:rPr>
              <w:t>SAE（</w:t>
            </w:r>
            <w:r>
              <w:rPr>
                <w:rFonts w:hint="eastAsia" w:ascii="宋体" w:hAnsi="宋体" w:eastAsia="宋体" w:cs="宋体"/>
                <w:b w:val="0"/>
                <w:bCs w:val="0"/>
                <w:sz w:val="28"/>
                <w:szCs w:val="28"/>
                <w:lang w:val="en-US" w:eastAsia="zh-CN"/>
              </w:rPr>
              <w:t>医疗器械GCP适用</w:t>
            </w:r>
            <w:r>
              <w:rPr>
                <w:rFonts w:hint="eastAsia" w:ascii="宋体" w:hAnsi="宋体" w:eastAsia="宋体" w:cs="宋体"/>
                <w:b w:val="0"/>
                <w:bCs w:val="0"/>
                <w:sz w:val="28"/>
                <w:szCs w:val="28"/>
                <w:lang w:eastAsia="zh-CN"/>
              </w:rPr>
              <w:t>）：</w:t>
            </w:r>
          </w:p>
          <w:p w14:paraId="4D858081">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如</w:t>
            </w:r>
            <w:r>
              <w:rPr>
                <w:rFonts w:hint="eastAsia" w:ascii="宋体" w:hAnsi="宋体" w:eastAsia="宋体" w:cs="宋体"/>
                <w:b w:val="0"/>
                <w:bCs w:val="0"/>
                <w:sz w:val="28"/>
                <w:szCs w:val="28"/>
                <w:lang w:val="en-US" w:eastAsia="zh-CN"/>
              </w:rPr>
              <w:t>在</w:t>
            </w:r>
            <w:r>
              <w:rPr>
                <w:rFonts w:hint="eastAsia"/>
                <w:sz w:val="28"/>
                <w:szCs w:val="28"/>
              </w:rPr>
              <w:t>本院</w:t>
            </w:r>
            <w:r>
              <w:rPr>
                <w:rFonts w:hint="eastAsia"/>
                <w:sz w:val="28"/>
                <w:szCs w:val="28"/>
                <w:lang w:val="en-US" w:eastAsia="zh-CN"/>
              </w:rPr>
              <w:t>发生医疗器械</w:t>
            </w:r>
            <w:r>
              <w:rPr>
                <w:rFonts w:hint="eastAsia" w:ascii="宋体" w:hAnsi="宋体" w:eastAsia="宋体" w:cs="宋体"/>
                <w:b w:val="0"/>
                <w:bCs w:val="0"/>
                <w:sz w:val="28"/>
                <w:szCs w:val="28"/>
                <w:lang w:eastAsia="zh-CN"/>
              </w:rPr>
              <w:t>SAE，</w:t>
            </w:r>
            <w:r>
              <w:rPr>
                <w:rFonts w:hint="eastAsia" w:ascii="宋体" w:hAnsi="宋体" w:eastAsia="宋体" w:cs="宋体"/>
                <w:sz w:val="28"/>
                <w:szCs w:val="28"/>
                <w:lang w:eastAsia="zh-CN"/>
              </w:rPr>
              <w:t>主要研究者</w:t>
            </w:r>
            <w:r>
              <w:rPr>
                <w:rFonts w:hint="eastAsia" w:ascii="宋体" w:hAnsi="宋体" w:eastAsia="宋体" w:cs="宋体"/>
                <w:b w:val="0"/>
                <w:bCs w:val="0"/>
                <w:sz w:val="28"/>
                <w:szCs w:val="28"/>
                <w:lang w:val="en-US" w:eastAsia="zh-CN"/>
              </w:rPr>
              <w:t xml:space="preserve">应当在获知后的严重不良事件后 </w:t>
            </w:r>
            <w:r>
              <w:rPr>
                <w:rFonts w:hint="default" w:ascii="宋体" w:hAnsi="宋体" w:eastAsia="宋体" w:cs="宋体"/>
                <w:b w:val="0"/>
                <w:bCs w:val="0"/>
                <w:sz w:val="28"/>
                <w:szCs w:val="28"/>
                <w:lang w:val="en-US" w:eastAsia="zh-CN"/>
              </w:rPr>
              <w:t xml:space="preserve">24 </w:t>
            </w:r>
            <w:r>
              <w:rPr>
                <w:rFonts w:hint="eastAsia" w:ascii="宋体" w:hAnsi="宋体" w:eastAsia="宋体" w:cs="宋体"/>
                <w:b w:val="0"/>
                <w:bCs w:val="0"/>
                <w:sz w:val="28"/>
                <w:szCs w:val="28"/>
                <w:lang w:val="en-US" w:eastAsia="zh-CN"/>
              </w:rPr>
              <w:t>小时内</w:t>
            </w:r>
            <w:r>
              <w:rPr>
                <w:rFonts w:hint="eastAsia" w:ascii="宋体" w:hAnsi="宋体" w:eastAsia="宋体" w:cs="宋体"/>
                <w:b w:val="0"/>
                <w:bCs w:val="0"/>
                <w:sz w:val="28"/>
                <w:szCs w:val="28"/>
                <w:lang w:eastAsia="zh-CN"/>
              </w:rPr>
              <w:t>及时报告至伦理审查委员会。</w:t>
            </w:r>
            <w:r>
              <w:rPr>
                <w:rFonts w:hint="eastAsia" w:ascii="宋体" w:hAnsi="宋体" w:eastAsia="宋体" w:cs="宋体"/>
                <w:b w:val="0"/>
                <w:bCs w:val="0"/>
                <w:sz w:val="28"/>
                <w:szCs w:val="28"/>
                <w:lang w:val="en-US" w:eastAsia="zh-CN"/>
              </w:rPr>
              <w:t>申办者/服务供应商应当及时报告外院试验</w:t>
            </w:r>
            <w:r>
              <w:rPr>
                <w:rFonts w:hint="eastAsia" w:ascii="宋体" w:hAnsi="宋体" w:eastAsia="宋体" w:cs="宋体"/>
                <w:b w:val="0"/>
                <w:bCs w:val="0"/>
                <w:sz w:val="28"/>
                <w:szCs w:val="28"/>
                <w:lang w:eastAsia="zh-CN"/>
              </w:rPr>
              <w:t>医疗器械临床试验SAE报告</w:t>
            </w:r>
          </w:p>
          <w:p w14:paraId="112CB9C6">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5</w:t>
            </w:r>
            <w:r>
              <w:rPr>
                <w:rFonts w:hint="eastAsia" w:ascii="宋体" w:hAnsi="宋体" w:eastAsia="宋体" w:cs="宋体"/>
                <w:b w:val="0"/>
                <w:bCs w:val="0"/>
                <w:sz w:val="28"/>
                <w:szCs w:val="28"/>
                <w:lang w:eastAsia="zh-CN"/>
              </w:rPr>
              <w:t>）DSUR（</w:t>
            </w:r>
            <w:r>
              <w:rPr>
                <w:rFonts w:hint="eastAsia" w:ascii="宋体" w:hAnsi="宋体" w:eastAsia="宋体" w:cs="宋体"/>
                <w:b w:val="0"/>
                <w:bCs w:val="0"/>
                <w:sz w:val="28"/>
                <w:szCs w:val="28"/>
                <w:lang w:val="en-US" w:eastAsia="zh-CN"/>
              </w:rPr>
              <w:t>药物GCP适用</w:t>
            </w:r>
            <w:r>
              <w:rPr>
                <w:rFonts w:hint="eastAsia" w:ascii="宋体" w:hAnsi="宋体" w:eastAsia="宋体" w:cs="宋体"/>
                <w:b w:val="0"/>
                <w:bCs w:val="0"/>
                <w:sz w:val="28"/>
                <w:szCs w:val="28"/>
                <w:lang w:eastAsia="zh-CN"/>
              </w:rPr>
              <w:t>）：</w:t>
            </w:r>
          </w:p>
          <w:p w14:paraId="0EE07E13">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申办者应及时汇总报告至伦理审查委员会（报告频率不低于每年1次）</w:t>
            </w:r>
          </w:p>
          <w:p w14:paraId="40B28D49">
            <w:pPr>
              <w:numPr>
                <w:ilvl w:val="-1"/>
                <w:numId w:val="0"/>
              </w:numPr>
              <w:ind w:firstLine="560" w:firstLineChars="20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（6）其它潜在的严重安全性风险信息</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药物GCP适用</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w:t>
            </w:r>
          </w:p>
          <w:p w14:paraId="1B61B916">
            <w:pPr>
              <w:numPr>
                <w:ilvl w:val="0"/>
                <w:numId w:val="0"/>
              </w:numPr>
              <w:ind w:firstLine="560" w:firstLineChars="200"/>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申办者</w:t>
            </w:r>
            <w:r>
              <w:rPr>
                <w:rFonts w:hint="default" w:ascii="宋体" w:hAnsi="宋体" w:eastAsia="宋体" w:cs="宋体"/>
                <w:b w:val="0"/>
                <w:bCs w:val="0"/>
                <w:sz w:val="28"/>
                <w:szCs w:val="28"/>
                <w:lang w:val="en-US" w:eastAsia="zh-CN"/>
              </w:rPr>
              <w:t>按照方案要求报告</w:t>
            </w:r>
            <w:r>
              <w:rPr>
                <w:rFonts w:hint="eastAsia" w:ascii="宋体" w:hAnsi="宋体" w:eastAsia="宋体" w:cs="宋体"/>
                <w:b w:val="0"/>
                <w:bCs w:val="0"/>
                <w:sz w:val="28"/>
                <w:szCs w:val="28"/>
                <w:lang w:val="en-US" w:eastAsia="zh-CN"/>
              </w:rPr>
              <w:t>。</w:t>
            </w:r>
          </w:p>
          <w:p w14:paraId="49D4FE36">
            <w:pPr>
              <w:numPr>
                <w:ilvl w:val="0"/>
                <w:numId w:val="3"/>
              </w:num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报告材料</w:t>
            </w:r>
          </w:p>
          <w:p w14:paraId="1B099557">
            <w:pPr>
              <w:numPr>
                <w:ilvl w:val="-1"/>
                <w:numId w:val="0"/>
              </w:numPr>
              <w:wordWrap w:val="0"/>
              <w:ind w:firstLine="560" w:firstLineChars="200"/>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详见</w:t>
            </w:r>
            <w:r>
              <w:rPr>
                <w:rFonts w:hint="eastAsia" w:eastAsiaTheme="majorEastAsia"/>
                <w:sz w:val="28"/>
                <w:szCs w:val="28"/>
                <w:lang w:eastAsia="zh-CN"/>
              </w:rPr>
              <w:t>安全性</w:t>
            </w:r>
            <w:r>
              <w:rPr>
                <w:rFonts w:hint="eastAsia"/>
                <w:sz w:val="28"/>
                <w:szCs w:val="28"/>
                <w:lang w:val="en-US" w:eastAsia="zh-CN"/>
              </w:rPr>
              <w:t>事件</w:t>
            </w:r>
            <w:r>
              <w:rPr>
                <w:rFonts w:hint="eastAsia" w:eastAsiaTheme="majorEastAsia"/>
                <w:sz w:val="28"/>
                <w:szCs w:val="28"/>
                <w:lang w:eastAsia="zh-CN"/>
              </w:rPr>
              <w:t>审查</w:t>
            </w:r>
            <w:r>
              <w:rPr>
                <w:rFonts w:hint="eastAsia" w:asciiTheme="majorEastAsia" w:hAnsiTheme="majorEastAsia" w:eastAsiaTheme="majorEastAsia"/>
                <w:sz w:val="28"/>
                <w:szCs w:val="28"/>
              </w:rPr>
              <w:t>的标准操作规程</w:t>
            </w:r>
            <w:r>
              <w:rPr>
                <w:rFonts w:ascii="Calibri Light"/>
                <w:sz w:val="28"/>
                <w:szCs w:val="28"/>
              </w:rPr>
              <w:t>YDXY-EC-SOP-00</w:t>
            </w:r>
            <w:r>
              <w:rPr>
                <w:rFonts w:hint="eastAsia" w:ascii="Calibri Light"/>
                <w:sz w:val="28"/>
                <w:szCs w:val="28"/>
                <w:lang w:val="en-US" w:eastAsia="zh-CN"/>
              </w:rPr>
              <w:t>4</w:t>
            </w:r>
            <w:r>
              <w:rPr>
                <w:rFonts w:ascii="Calibri Light"/>
                <w:sz w:val="28"/>
                <w:szCs w:val="28"/>
              </w:rPr>
              <w:t>-</w:t>
            </w:r>
            <w:r>
              <w:rPr>
                <w:rFonts w:hint="eastAsia" w:ascii="Calibri Light"/>
                <w:sz w:val="28"/>
                <w:szCs w:val="28"/>
                <w:lang w:val="en-US" w:eastAsia="zh-CN"/>
              </w:rPr>
              <w:t>4.0附件“</w:t>
            </w:r>
            <w:r>
              <w:rPr>
                <w:rFonts w:hint="eastAsia" w:ascii="Times New Roman" w:eastAsia="宋体"/>
                <w:sz w:val="28"/>
                <w:szCs w:val="28"/>
                <w:lang w:val="en-US" w:eastAsia="zh-CN"/>
              </w:rPr>
              <w:t>安全性事件审查送审文件清单”。</w:t>
            </w:r>
          </w:p>
          <w:p w14:paraId="6FBB3D67">
            <w:pPr>
              <w:numPr>
                <w:ilvl w:val="0"/>
                <w:numId w:val="3"/>
              </w:num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报告流程</w:t>
            </w:r>
          </w:p>
          <w:p w14:paraId="5FB2EE5B">
            <w:pPr>
              <w:numPr>
                <w:ilvl w:val="-1"/>
                <w:numId w:val="0"/>
              </w:numPr>
              <w:ind w:firstLine="0" w:firstLineChars="0"/>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本院安全性事件报告流程：</w:t>
            </w:r>
          </w:p>
          <w:p w14:paraId="0B5B4799">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lang w:eastAsia="zh-CN"/>
              </w:rPr>
              <w:t>主要研究者/项目（课题）负责人</w:t>
            </w:r>
            <w:r>
              <w:rPr>
                <w:rFonts w:hint="eastAsia" w:ascii="宋体" w:hAnsi="宋体" w:eastAsia="宋体" w:cs="宋体"/>
                <w:b w:val="0"/>
                <w:bCs w:val="0"/>
                <w:sz w:val="28"/>
                <w:szCs w:val="28"/>
              </w:rPr>
              <w:t>/申办者准备报告材料</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并发送电子版材料至伦理办公邮箱</w:t>
            </w:r>
            <w:r>
              <w:rPr>
                <w:rFonts w:hint="eastAsia" w:ascii="宋体" w:hAnsi="宋体" w:eastAsia="宋体" w:cs="宋体"/>
                <w:b w:val="0"/>
                <w:bCs w:val="0"/>
                <w:sz w:val="28"/>
                <w:szCs w:val="28"/>
                <w:lang w:eastAsia="zh-CN"/>
              </w:rPr>
              <w:t>。</w:t>
            </w:r>
          </w:p>
          <w:p w14:paraId="0EC08D20">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2）</w:t>
            </w:r>
            <w:r>
              <w:rPr>
                <w:rFonts w:hint="eastAsia" w:ascii="宋体" w:hAnsi="宋体" w:eastAsia="宋体" w:cs="宋体"/>
                <w:b w:val="0"/>
                <w:bCs w:val="0"/>
                <w:sz w:val="28"/>
                <w:szCs w:val="28"/>
              </w:rPr>
              <w:t>邮箱</w:t>
            </w:r>
            <w:r>
              <w:rPr>
                <w:rFonts w:hint="eastAsia" w:ascii="宋体" w:hAnsi="宋体" w:eastAsia="宋体" w:cs="宋体"/>
                <w:b w:val="0"/>
                <w:bCs w:val="0"/>
                <w:sz w:val="28"/>
                <w:szCs w:val="28"/>
                <w:lang w:val="en-US" w:eastAsia="zh-CN"/>
              </w:rPr>
              <w:t>预形式审查</w:t>
            </w:r>
            <w:r>
              <w:rPr>
                <w:rFonts w:hint="eastAsia" w:ascii="宋体" w:hAnsi="宋体" w:eastAsia="宋体" w:cs="宋体"/>
                <w:b w:val="0"/>
                <w:bCs w:val="0"/>
                <w:sz w:val="28"/>
                <w:szCs w:val="28"/>
              </w:rPr>
              <w:t>受理后</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申请人需将纸质版报告材料</w:t>
            </w:r>
            <w:r>
              <w:rPr>
                <w:rFonts w:hint="eastAsia" w:ascii="宋体" w:hAnsi="宋体" w:eastAsia="宋体" w:cs="宋体"/>
                <w:b w:val="0"/>
                <w:bCs w:val="0"/>
                <w:sz w:val="28"/>
                <w:szCs w:val="28"/>
                <w:lang w:val="en-US" w:eastAsia="zh-CN"/>
              </w:rPr>
              <w:t>或者通过上传伦理审查系统</w:t>
            </w:r>
            <w:r>
              <w:rPr>
                <w:rFonts w:hint="eastAsia" w:ascii="宋体" w:hAnsi="宋体" w:eastAsia="宋体" w:cs="宋体"/>
                <w:b w:val="0"/>
                <w:bCs w:val="0"/>
                <w:sz w:val="28"/>
                <w:szCs w:val="28"/>
              </w:rPr>
              <w:t>及时</w:t>
            </w:r>
            <w:r>
              <w:rPr>
                <w:rFonts w:hint="eastAsia" w:ascii="宋体" w:hAnsi="宋体" w:eastAsia="宋体" w:cs="宋体"/>
                <w:b w:val="0"/>
                <w:bCs w:val="0"/>
                <w:sz w:val="28"/>
                <w:szCs w:val="28"/>
                <w:lang w:val="en-US" w:eastAsia="zh-CN"/>
              </w:rPr>
              <w:t>向</w:t>
            </w:r>
            <w:r>
              <w:rPr>
                <w:rFonts w:hint="eastAsia" w:ascii="宋体" w:hAnsi="宋体" w:eastAsia="宋体" w:cs="宋体"/>
                <w:b w:val="0"/>
                <w:bCs w:val="0"/>
                <w:sz w:val="28"/>
                <w:szCs w:val="28"/>
              </w:rPr>
              <w:t>伦理</w:t>
            </w:r>
            <w:r>
              <w:rPr>
                <w:rFonts w:hint="eastAsia" w:ascii="宋体" w:hAnsi="宋体" w:eastAsia="宋体" w:cs="宋体"/>
                <w:b w:val="0"/>
                <w:bCs w:val="0"/>
                <w:sz w:val="28"/>
                <w:szCs w:val="28"/>
                <w:lang w:val="en-US" w:eastAsia="zh-CN"/>
              </w:rPr>
              <w:t>秘书</w:t>
            </w:r>
            <w:r>
              <w:rPr>
                <w:rFonts w:hint="eastAsia" w:ascii="宋体" w:hAnsi="宋体" w:eastAsia="宋体" w:cs="宋体"/>
                <w:b w:val="0"/>
                <w:bCs w:val="0"/>
                <w:sz w:val="28"/>
                <w:szCs w:val="28"/>
              </w:rPr>
              <w:t>递交</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并由伦理秘书形式审查并</w:t>
            </w:r>
            <w:r>
              <w:rPr>
                <w:rFonts w:hint="eastAsia" w:ascii="宋体" w:hAnsi="宋体" w:eastAsia="宋体" w:cs="宋体"/>
                <w:b w:val="0"/>
                <w:bCs w:val="0"/>
                <w:sz w:val="28"/>
                <w:szCs w:val="28"/>
                <w:lang w:val="en-US" w:eastAsia="zh-CN"/>
              </w:rPr>
              <w:t>签字</w:t>
            </w:r>
            <w:r>
              <w:rPr>
                <w:rFonts w:hint="eastAsia" w:ascii="宋体" w:hAnsi="宋体" w:eastAsia="宋体" w:cs="宋体"/>
                <w:b w:val="0"/>
                <w:bCs w:val="0"/>
                <w:sz w:val="28"/>
                <w:szCs w:val="28"/>
              </w:rPr>
              <w:t>。</w:t>
            </w:r>
          </w:p>
          <w:p w14:paraId="7825BD3A">
            <w:pPr>
              <w:ind w:firstLine="560" w:firstLineChars="200"/>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3</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药物GCP项目中的外院</w:t>
            </w:r>
            <w:r>
              <w:rPr>
                <w:rFonts w:hint="eastAsia" w:ascii="宋体" w:hAnsi="宋体" w:eastAsia="宋体" w:cs="宋体"/>
                <w:b w:val="0"/>
                <w:bCs w:val="0"/>
                <w:sz w:val="28"/>
                <w:szCs w:val="28"/>
              </w:rPr>
              <w:t>SUSAR</w:t>
            </w:r>
            <w:r>
              <w:rPr>
                <w:rFonts w:hint="eastAsia" w:ascii="宋体" w:hAnsi="宋体" w:eastAsia="宋体" w:cs="宋体"/>
                <w:b w:val="0"/>
                <w:bCs w:val="0"/>
                <w:sz w:val="28"/>
                <w:szCs w:val="28"/>
                <w:lang w:val="en-US" w:eastAsia="zh-CN"/>
              </w:rPr>
              <w:t>汇总信息</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 xml:space="preserve"> DSUR</w:t>
            </w:r>
            <w:r>
              <w:rPr>
                <w:rFonts w:hint="eastAsia" w:ascii="宋体" w:hAnsi="宋体" w:eastAsia="宋体" w:cs="宋体"/>
                <w:b w:val="0"/>
                <w:bCs w:val="0"/>
                <w:sz w:val="28"/>
                <w:szCs w:val="28"/>
                <w:lang w:eastAsia="zh-CN"/>
              </w:rPr>
              <w:t>、</w:t>
            </w:r>
            <w:r>
              <w:rPr>
                <w:rFonts w:hint="eastAsia" w:ascii="宋体" w:hAnsi="宋体" w:eastAsia="宋体" w:cs="宋体"/>
                <w:color w:val="000000"/>
                <w:sz w:val="28"/>
                <w:szCs w:val="28"/>
              </w:rPr>
              <w:t>其他潜在的严重安全性风险信</w:t>
            </w:r>
            <w:r>
              <w:rPr>
                <w:rFonts w:hint="eastAsia" w:ascii="宋体" w:hAnsi="宋体" w:eastAsia="宋体" w:cs="宋体"/>
                <w:color w:val="000000"/>
                <w:sz w:val="28"/>
                <w:szCs w:val="28"/>
                <w:lang w:val="en-US" w:eastAsia="zh-CN"/>
              </w:rPr>
              <w:t>息</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以及外院</w:t>
            </w:r>
            <w:r>
              <w:rPr>
                <w:rFonts w:hint="eastAsia" w:ascii="宋体" w:hAnsi="宋体" w:eastAsia="宋体" w:cs="宋体"/>
                <w:b w:val="0"/>
                <w:bCs w:val="0"/>
                <w:sz w:val="28"/>
                <w:szCs w:val="28"/>
                <w:lang w:val="en-US" w:eastAsia="zh-CN"/>
              </w:rPr>
              <w:t>试验</w:t>
            </w:r>
            <w:r>
              <w:rPr>
                <w:rFonts w:hint="eastAsia" w:ascii="宋体" w:hAnsi="宋体" w:eastAsia="宋体" w:cs="宋体"/>
                <w:b w:val="0"/>
                <w:bCs w:val="0"/>
                <w:sz w:val="28"/>
                <w:szCs w:val="28"/>
                <w:lang w:eastAsia="zh-CN"/>
              </w:rPr>
              <w:t>医疗器械临床试验SAE报告</w:t>
            </w:r>
            <w:r>
              <w:rPr>
                <w:rFonts w:hint="eastAsia" w:ascii="宋体" w:hAnsi="宋体" w:eastAsia="宋体" w:cs="宋体"/>
                <w:b w:val="0"/>
                <w:bCs w:val="0"/>
                <w:sz w:val="28"/>
                <w:szCs w:val="28"/>
                <w:lang w:val="en-US" w:eastAsia="zh-CN"/>
              </w:rPr>
              <w:t>通过伦理审查系统</w:t>
            </w:r>
            <w:r>
              <w:rPr>
                <w:rFonts w:hint="eastAsia" w:ascii="宋体" w:hAnsi="宋体" w:eastAsia="宋体" w:cs="宋体"/>
                <w:b w:val="0"/>
                <w:bCs w:val="0"/>
                <w:sz w:val="28"/>
                <w:szCs w:val="28"/>
              </w:rPr>
              <w:t>递交</w:t>
            </w:r>
            <w:r>
              <w:rPr>
                <w:rFonts w:hint="eastAsia" w:ascii="宋体" w:hAnsi="宋体" w:eastAsia="宋体" w:cs="宋体"/>
                <w:b w:val="0"/>
                <w:bCs w:val="0"/>
                <w:sz w:val="28"/>
                <w:szCs w:val="28"/>
                <w:lang w:eastAsia="zh-CN"/>
              </w:rPr>
              <w:t>。</w:t>
            </w:r>
          </w:p>
          <w:p w14:paraId="568E2611">
            <w:pPr>
              <w:ind w:firstLine="560" w:firstLineChars="20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rPr>
              <w:t>伦理办公邮箱</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ydxyec@163.com</w:t>
            </w:r>
          </w:p>
          <w:p w14:paraId="4675F748">
            <w:pPr>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邮件标题</w:t>
            </w:r>
            <w:r>
              <w:rPr>
                <w:rFonts w:hint="eastAsia" w:ascii="宋体" w:hAnsi="宋体" w:eastAsia="宋体" w:cs="宋体"/>
                <w:b w:val="0"/>
                <w:bCs w:val="0"/>
                <w:sz w:val="28"/>
                <w:szCs w:val="28"/>
                <w:lang w:eastAsia="zh-CN"/>
              </w:rPr>
              <w:t>：项目开展专业</w:t>
            </w:r>
            <w:r>
              <w:rPr>
                <w:rFonts w:hint="eastAsia" w:ascii="宋体" w:hAnsi="宋体" w:eastAsia="宋体" w:cs="宋体"/>
                <w:b w:val="0"/>
                <w:bCs w:val="0"/>
                <w:sz w:val="28"/>
                <w:szCs w:val="28"/>
                <w:u w:val="single"/>
              </w:rPr>
              <w:t>+P</w:t>
            </w:r>
            <w:r>
              <w:rPr>
                <w:rFonts w:hint="eastAsia" w:ascii="宋体" w:hAnsi="宋体" w:eastAsia="宋体" w:cs="宋体"/>
                <w:b w:val="0"/>
                <w:bCs w:val="0"/>
                <w:sz w:val="28"/>
                <w:szCs w:val="28"/>
                <w:u w:val="single"/>
                <w:lang w:val="en-US" w:eastAsia="zh-CN"/>
              </w:rPr>
              <w:t>I</w:t>
            </w:r>
            <w:r>
              <w:rPr>
                <w:rFonts w:hint="eastAsia" w:ascii="宋体" w:hAnsi="宋体" w:eastAsia="宋体" w:cs="宋体"/>
                <w:b w:val="0"/>
                <w:bCs w:val="0"/>
                <w:sz w:val="28"/>
                <w:szCs w:val="28"/>
                <w:u w:val="single"/>
              </w:rPr>
              <w:t>+</w:t>
            </w:r>
            <w:r>
              <w:rPr>
                <w:rFonts w:hint="eastAsia" w:ascii="宋体" w:hAnsi="宋体" w:eastAsia="宋体" w:cs="宋体"/>
                <w:b w:val="0"/>
                <w:bCs w:val="0"/>
                <w:sz w:val="28"/>
                <w:szCs w:val="28"/>
                <w:u w:val="single"/>
                <w:lang w:eastAsia="zh-CN"/>
              </w:rPr>
              <w:t>研究</w:t>
            </w:r>
            <w:r>
              <w:rPr>
                <w:rFonts w:hint="eastAsia" w:ascii="宋体" w:hAnsi="宋体" w:eastAsia="宋体" w:cs="宋体"/>
                <w:b w:val="0"/>
                <w:bCs w:val="0"/>
                <w:sz w:val="28"/>
                <w:szCs w:val="28"/>
                <w:u w:val="single"/>
                <w:lang w:val="en-US" w:eastAsia="zh-CN"/>
              </w:rPr>
              <w:t>产品</w:t>
            </w:r>
            <w:r>
              <w:rPr>
                <w:rFonts w:hint="eastAsia" w:ascii="宋体" w:hAnsi="宋体" w:eastAsia="宋体" w:cs="宋体"/>
                <w:b w:val="0"/>
                <w:bCs w:val="0"/>
                <w:sz w:val="28"/>
                <w:szCs w:val="28"/>
                <w:u w:val="single"/>
              </w:rPr>
              <w:t>名称+报告类别</w:t>
            </w:r>
            <w:r>
              <w:rPr>
                <w:rFonts w:hint="eastAsia" w:ascii="宋体" w:hAnsi="宋体" w:eastAsia="宋体" w:cs="宋体"/>
                <w:b w:val="0"/>
                <w:bCs w:val="0"/>
                <w:sz w:val="28"/>
                <w:szCs w:val="28"/>
                <w:lang w:eastAsia="zh-CN"/>
              </w:rPr>
              <w:t>）</w:t>
            </w:r>
          </w:p>
          <w:p w14:paraId="51C50213">
            <w:pPr>
              <w:pStyle w:val="9"/>
              <w:widowControl/>
              <w:numPr>
                <w:ilvl w:val="0"/>
                <w:numId w:val="0"/>
              </w:numPr>
              <w:ind w:leftChars="-100" w:firstLine="840" w:firstLineChars="300"/>
              <w:jc w:val="left"/>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rPr>
              <w:t>伦理</w:t>
            </w:r>
            <w:r>
              <w:rPr>
                <w:rFonts w:hint="eastAsia" w:ascii="宋体" w:hAnsi="宋体" w:eastAsia="宋体" w:cs="宋体"/>
                <w:b w:val="0"/>
                <w:bCs w:val="0"/>
                <w:sz w:val="28"/>
                <w:szCs w:val="28"/>
                <w:lang w:val="en-US" w:eastAsia="zh-CN"/>
              </w:rPr>
              <w:t>审查系统：</w:t>
            </w:r>
            <w:r>
              <w:rPr>
                <w:rStyle w:val="8"/>
                <w:rFonts w:hint="default" w:ascii="Times New Roman" w:hAnsi="Times New Roman" w:eastAsia="宋体" w:cs="Times New Roman"/>
                <w:b w:val="0"/>
                <w:bCs w:val="0"/>
                <w:color w:val="000000" w:themeColor="text1"/>
                <w:sz w:val="28"/>
                <w:szCs w:val="28"/>
                <w:lang w:val="en-US" w:eastAsia="zh-CN"/>
              </w:rPr>
              <w:t>http://219.145.104.229:57630/auth/login</w:t>
            </w:r>
          </w:p>
          <w:p w14:paraId="7D1D09C4">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联系</w:t>
            </w:r>
            <w:r>
              <w:rPr>
                <w:rFonts w:hint="eastAsia" w:ascii="宋体" w:hAnsi="宋体" w:eastAsia="宋体" w:cs="宋体"/>
                <w:color w:val="auto"/>
                <w:sz w:val="28"/>
                <w:szCs w:val="28"/>
                <w:lang w:val="en-US" w:eastAsia="zh-CN"/>
              </w:rPr>
              <w:t>人</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伦理秘书</w:t>
            </w:r>
            <w:r>
              <w:rPr>
                <w:rFonts w:hint="eastAsia" w:ascii="宋体" w:hAnsi="宋体" w:eastAsia="宋体" w:cs="宋体"/>
                <w:color w:val="auto"/>
                <w:sz w:val="28"/>
                <w:szCs w:val="28"/>
                <w:lang w:val="en-US" w:eastAsia="zh-CN"/>
              </w:rPr>
              <w:t xml:space="preserve"> 徐佳浩</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陈伊婷</w:t>
            </w:r>
            <w:r>
              <w:rPr>
                <w:rFonts w:hint="eastAsia" w:ascii="宋体" w:hAnsi="宋体" w:eastAsia="宋体" w:cs="宋体"/>
                <w:color w:val="auto"/>
                <w:sz w:val="28"/>
                <w:szCs w:val="28"/>
              </w:rPr>
              <w:t xml:space="preserve"> </w:t>
            </w:r>
          </w:p>
          <w:p w14:paraId="325E8912">
            <w:pPr>
              <w:ind w:firstLine="560" w:firstLineChars="200"/>
              <w:rPr>
                <w:rFonts w:hint="default" w:ascii="Times New Roman" w:eastAsia="宋体"/>
                <w:color w:val="auto"/>
                <w:sz w:val="28"/>
                <w:szCs w:val="28"/>
                <w:lang w:val="en-US" w:eastAsia="zh-CN"/>
              </w:rPr>
            </w:pPr>
            <w:r>
              <w:rPr>
                <w:rFonts w:hint="eastAsia" w:ascii="宋体" w:hAnsi="宋体" w:eastAsia="宋体" w:cs="宋体"/>
                <w:color w:val="auto"/>
                <w:sz w:val="28"/>
                <w:szCs w:val="28"/>
                <w:lang w:val="en-US" w:eastAsia="zh-CN"/>
              </w:rPr>
              <w:t>联系电话：029</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33786504</w:t>
            </w:r>
          </w:p>
          <w:p w14:paraId="437B2D64">
            <w:pPr>
              <w:numPr>
                <w:ilvl w:val="-1"/>
                <w:numId w:val="0"/>
              </w:numPr>
              <w:ind w:left="560" w:leftChars="0" w:firstLine="0" w:firstLineChars="0"/>
              <w:rPr>
                <w:rFonts w:hint="eastAsia" w:ascii="Times New Roman" w:eastAsia="宋体"/>
                <w:sz w:val="28"/>
                <w:szCs w:val="28"/>
                <w:lang w:val="en-US" w:eastAsia="zh-CN"/>
              </w:rPr>
            </w:pPr>
          </w:p>
        </w:tc>
      </w:tr>
    </w:tbl>
    <w:p w14:paraId="176B9F53">
      <w:pPr>
        <w:jc w:val="center"/>
        <w:rPr>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roman"/>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F77C5">
    <w:pPr>
      <w:pStyle w:val="3"/>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path/>
          <v:fill on="f" focussize="0,0"/>
          <v:stroke on="f" weight="0.5pt" joinstyle="miter"/>
          <v:imagedata o:title=""/>
          <o:lock v:ext="edit"/>
          <v:textbox inset="0mm,0mm,0mm,0mm" style="mso-fit-shape-to-text:t;">
            <w:txbxContent>
              <w:p w14:paraId="75DE527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C16B8">
    <w:pPr>
      <w:pStyle w:val="4"/>
      <w:jc w:val="center"/>
      <w:rPr>
        <w:b/>
        <w:bCs/>
        <w:sz w:val="21"/>
        <w:szCs w:val="21"/>
      </w:rPr>
    </w:pPr>
    <w:r>
      <w:rPr>
        <w:rFonts w:hint="eastAsia"/>
        <w:b/>
        <w:bCs/>
        <w:sz w:val="21"/>
        <w:szCs w:val="21"/>
      </w:rPr>
      <w:t>延安大学咸阳医院</w:t>
    </w:r>
    <w:r>
      <w:rPr>
        <w:rFonts w:hint="eastAsia"/>
        <w:b/>
        <w:bCs/>
        <w:sz w:val="21"/>
        <w:szCs w:val="21"/>
        <w:lang w:val="en-US" w:eastAsia="zh-CN"/>
      </w:rPr>
      <w:t>伦理审查委员会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CC40C2"/>
    <w:multiLevelType w:val="singleLevel"/>
    <w:tmpl w:val="30CC40C2"/>
    <w:lvl w:ilvl="0" w:tentative="0">
      <w:start w:val="2"/>
      <w:numFmt w:val="decimal"/>
      <w:suff w:val="nothing"/>
      <w:lvlText w:val="%1、"/>
      <w:lvlJc w:val="left"/>
    </w:lvl>
  </w:abstractNum>
  <w:abstractNum w:abstractNumId="1">
    <w:nsid w:val="4A6C5E3A"/>
    <w:multiLevelType w:val="singleLevel"/>
    <w:tmpl w:val="4A6C5E3A"/>
    <w:lvl w:ilvl="0" w:tentative="0">
      <w:start w:val="1"/>
      <w:numFmt w:val="chineseCounting"/>
      <w:suff w:val="nothing"/>
      <w:lvlText w:val="（%1）"/>
      <w:lvlJc w:val="left"/>
      <w:rPr>
        <w:rFonts w:hint="eastAsia"/>
      </w:rPr>
    </w:lvl>
  </w:abstractNum>
  <w:abstractNum w:abstractNumId="2">
    <w:nsid w:val="78C1A0D9"/>
    <w:multiLevelType w:val="singleLevel"/>
    <w:tmpl w:val="78C1A0D9"/>
    <w:lvl w:ilvl="0" w:tentative="0">
      <w:start w:val="4"/>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A3MDc0YmQwMWRhZjI3Y2U3YTlhZjU4Nzk1ZWFlMDEifQ=="/>
  </w:docVars>
  <w:rsids>
    <w:rsidRoot w:val="00AA208C"/>
    <w:rsid w:val="00457522"/>
    <w:rsid w:val="005913B5"/>
    <w:rsid w:val="005D7D24"/>
    <w:rsid w:val="00674179"/>
    <w:rsid w:val="008C186F"/>
    <w:rsid w:val="00AA208C"/>
    <w:rsid w:val="00BB1D3B"/>
    <w:rsid w:val="00C104B9"/>
    <w:rsid w:val="00DB6B4C"/>
    <w:rsid w:val="00DD1695"/>
    <w:rsid w:val="061D1AB0"/>
    <w:rsid w:val="0B6941B3"/>
    <w:rsid w:val="0DD47DF6"/>
    <w:rsid w:val="11424DA6"/>
    <w:rsid w:val="119D0D26"/>
    <w:rsid w:val="14BD61CB"/>
    <w:rsid w:val="14BF4551"/>
    <w:rsid w:val="166A4785"/>
    <w:rsid w:val="1D816102"/>
    <w:rsid w:val="1FC559D7"/>
    <w:rsid w:val="20E43BFD"/>
    <w:rsid w:val="21DD4356"/>
    <w:rsid w:val="21FC21D4"/>
    <w:rsid w:val="22254E24"/>
    <w:rsid w:val="22C12816"/>
    <w:rsid w:val="22C37FAD"/>
    <w:rsid w:val="231B3CF8"/>
    <w:rsid w:val="26933CB2"/>
    <w:rsid w:val="26EA179E"/>
    <w:rsid w:val="28246345"/>
    <w:rsid w:val="28F9552D"/>
    <w:rsid w:val="2928599B"/>
    <w:rsid w:val="2BF64A5E"/>
    <w:rsid w:val="2C5F0370"/>
    <w:rsid w:val="2C6C2AA6"/>
    <w:rsid w:val="2CC61D4B"/>
    <w:rsid w:val="2E4D27DA"/>
    <w:rsid w:val="305E47AC"/>
    <w:rsid w:val="35353421"/>
    <w:rsid w:val="35535834"/>
    <w:rsid w:val="38E07F18"/>
    <w:rsid w:val="3AF737CA"/>
    <w:rsid w:val="3C3C2A9B"/>
    <w:rsid w:val="3D8544B6"/>
    <w:rsid w:val="3F9E4DD9"/>
    <w:rsid w:val="3FF63C05"/>
    <w:rsid w:val="416028FE"/>
    <w:rsid w:val="42A0489B"/>
    <w:rsid w:val="45372BC7"/>
    <w:rsid w:val="49210D7C"/>
    <w:rsid w:val="4AE368E5"/>
    <w:rsid w:val="4BA566D3"/>
    <w:rsid w:val="4FD652BF"/>
    <w:rsid w:val="53C0752F"/>
    <w:rsid w:val="5492791F"/>
    <w:rsid w:val="55093034"/>
    <w:rsid w:val="58B23C1A"/>
    <w:rsid w:val="5B0D2810"/>
    <w:rsid w:val="62AF3292"/>
    <w:rsid w:val="62D7091D"/>
    <w:rsid w:val="63B349B2"/>
    <w:rsid w:val="63C72177"/>
    <w:rsid w:val="643E083D"/>
    <w:rsid w:val="65C00FAE"/>
    <w:rsid w:val="68AD3CAC"/>
    <w:rsid w:val="6BAA415C"/>
    <w:rsid w:val="6C467929"/>
    <w:rsid w:val="6D70795F"/>
    <w:rsid w:val="746A51E0"/>
    <w:rsid w:val="74852670"/>
    <w:rsid w:val="749E194C"/>
    <w:rsid w:val="76D565E4"/>
    <w:rsid w:val="7CFD4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unhideWhenUsed/>
    <w:qFormat/>
    <w:uiPriority w:val="1"/>
  </w:style>
  <w:style w:type="table" w:default="1" w:styleId="5">
    <w:name w:val="Normal Table"/>
    <w:autoRedefin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autoRedefine/>
    <w:qFormat/>
    <w:uiPriority w:val="0"/>
    <w:rPr>
      <w:color w:val="0000FF"/>
      <w:u w:val="single"/>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1385</Words>
  <Characters>1582</Characters>
  <Lines>16</Lines>
  <Paragraphs>4</Paragraphs>
  <TotalTime>0</TotalTime>
  <ScaleCrop>false</ScaleCrop>
  <LinksUpToDate>false</LinksUpToDate>
  <CharactersWithSpaces>1606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2026-08-31T09:27:09Z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6A4FD79F3F994A3FA79766A236B418B7_12</vt:lpwstr>
  </property>
  <property fmtid="{D5CDD505-2E9C-101B-9397-08002B2CF9AE}" pid="4" name="KSOTemplateDocerSaveRecord">
    <vt:lpwstr>eyJoZGlkIjoiMjliMjVhZTMwNGVkNzcyODFkMmRhMjkyN2Q1MWI4NGQiLCJ1c2VySWQiOiI0MjQwMDEyMDEifQ==</vt:lpwstr>
  </property>
</Properties>
</file>