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763EA">
      <w:pPr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</w:rPr>
        <w:t>伦理委员会</w:t>
      </w:r>
      <w:r>
        <w:rPr>
          <w:rFonts w:hint="eastAsia"/>
          <w:b/>
          <w:bCs/>
          <w:sz w:val="32"/>
          <w:szCs w:val="32"/>
          <w:lang w:eastAsia="zh-CN"/>
        </w:rPr>
        <w:t>标准操作规程</w:t>
      </w:r>
    </w:p>
    <w:tbl>
      <w:tblPr>
        <w:tblStyle w:val="6"/>
        <w:tblpPr w:leftFromText="180" w:rightFromText="180" w:vertAnchor="page" w:horzAnchor="page" w:tblpX="1702" w:tblpY="2148"/>
        <w:tblOverlap w:val="never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15"/>
        <w:gridCol w:w="1530"/>
        <w:gridCol w:w="1365"/>
        <w:gridCol w:w="1380"/>
        <w:gridCol w:w="1530"/>
      </w:tblGrid>
      <w:tr w14:paraId="1285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05" w:type="dxa"/>
          </w:tcPr>
          <w:p w14:paraId="1ED36B5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题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7320" w:type="dxa"/>
            <w:gridSpan w:val="5"/>
          </w:tcPr>
          <w:p w14:paraId="4354F42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8"/>
                <w:szCs w:val="28"/>
              </w:rPr>
              <w:t>违背方案审查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的标准操作规程</w:t>
            </w:r>
          </w:p>
        </w:tc>
      </w:tr>
      <w:tr w14:paraId="528A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05" w:type="dxa"/>
            <w:vAlign w:val="top"/>
          </w:tcPr>
          <w:p w14:paraId="5B6F5B4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拟定人</w:t>
            </w:r>
          </w:p>
        </w:tc>
        <w:tc>
          <w:tcPr>
            <w:tcW w:w="1515" w:type="dxa"/>
            <w:vAlign w:val="top"/>
          </w:tcPr>
          <w:p w14:paraId="24D7C640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徐佳浩</w:t>
            </w:r>
          </w:p>
        </w:tc>
        <w:tc>
          <w:tcPr>
            <w:tcW w:w="1530" w:type="dxa"/>
            <w:vAlign w:val="top"/>
          </w:tcPr>
          <w:p w14:paraId="38B3773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审核人</w:t>
            </w:r>
          </w:p>
        </w:tc>
        <w:tc>
          <w:tcPr>
            <w:tcW w:w="1365" w:type="dxa"/>
            <w:vAlign w:val="top"/>
          </w:tcPr>
          <w:p w14:paraId="4552E9FF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巨涛</w:t>
            </w:r>
          </w:p>
        </w:tc>
        <w:tc>
          <w:tcPr>
            <w:tcW w:w="1380" w:type="dxa"/>
            <w:vAlign w:val="top"/>
          </w:tcPr>
          <w:p w14:paraId="2C50BE0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批准人</w:t>
            </w:r>
          </w:p>
        </w:tc>
        <w:tc>
          <w:tcPr>
            <w:tcW w:w="1530" w:type="dxa"/>
            <w:vAlign w:val="top"/>
          </w:tcPr>
          <w:p w14:paraId="782A918D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张海涛</w:t>
            </w:r>
          </w:p>
        </w:tc>
      </w:tr>
      <w:tr w14:paraId="4A29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05" w:type="dxa"/>
            <w:vAlign w:val="top"/>
          </w:tcPr>
          <w:p w14:paraId="7FE45605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>拟定时间</w:t>
            </w:r>
          </w:p>
        </w:tc>
        <w:tc>
          <w:tcPr>
            <w:tcW w:w="1515" w:type="dxa"/>
            <w:vAlign w:val="top"/>
          </w:tcPr>
          <w:p w14:paraId="684B67BC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2025.8.11</w:t>
            </w:r>
          </w:p>
        </w:tc>
        <w:tc>
          <w:tcPr>
            <w:tcW w:w="1530" w:type="dxa"/>
            <w:vAlign w:val="top"/>
          </w:tcPr>
          <w:p w14:paraId="51F26004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365" w:type="dxa"/>
            <w:vAlign w:val="top"/>
          </w:tcPr>
          <w:p w14:paraId="173D719D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2025.8.18</w:t>
            </w:r>
          </w:p>
        </w:tc>
        <w:tc>
          <w:tcPr>
            <w:tcW w:w="1380" w:type="dxa"/>
            <w:vAlign w:val="top"/>
          </w:tcPr>
          <w:p w14:paraId="668F553D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530" w:type="dxa"/>
            <w:vAlign w:val="top"/>
          </w:tcPr>
          <w:p w14:paraId="4B5100C2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2025.8.25</w:t>
            </w:r>
          </w:p>
        </w:tc>
      </w:tr>
      <w:tr w14:paraId="12C6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05" w:type="dxa"/>
            <w:vAlign w:val="top"/>
          </w:tcPr>
          <w:p w14:paraId="28AF0D81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编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045" w:type="dxa"/>
            <w:gridSpan w:val="2"/>
            <w:vAlign w:val="top"/>
          </w:tcPr>
          <w:p w14:paraId="0734F8C3">
            <w:pPr>
              <w:jc w:val="center"/>
              <w:rPr>
                <w:rFonts w:hint="default" w:ascii="Times New Roman" w:eastAsia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 Light"/>
                <w:sz w:val="28"/>
                <w:szCs w:val="28"/>
              </w:rPr>
              <w:t>YDXY-EC-SOP-00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5</w:t>
            </w:r>
            <w:r>
              <w:rPr>
                <w:rFonts w:ascii="Calibri Light"/>
                <w:sz w:val="28"/>
                <w:szCs w:val="28"/>
              </w:rPr>
              <w:t>-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3.1</w:t>
            </w:r>
          </w:p>
        </w:tc>
        <w:tc>
          <w:tcPr>
            <w:tcW w:w="1365" w:type="dxa"/>
            <w:vAlign w:val="top"/>
          </w:tcPr>
          <w:p w14:paraId="26D2C6DD">
            <w:pPr>
              <w:jc w:val="center"/>
              <w:rPr>
                <w:rFonts w:hint="eastAsia"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生效日期</w:t>
            </w:r>
          </w:p>
        </w:tc>
        <w:tc>
          <w:tcPr>
            <w:tcW w:w="2910" w:type="dxa"/>
            <w:gridSpan w:val="2"/>
            <w:vAlign w:val="top"/>
          </w:tcPr>
          <w:p w14:paraId="09370A45">
            <w:pPr>
              <w:jc w:val="center"/>
              <w:rPr>
                <w:rFonts w:hint="default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2025.9.1</w:t>
            </w:r>
            <w:bookmarkStart w:id="0" w:name="_GoBack"/>
            <w:bookmarkEnd w:id="0"/>
          </w:p>
        </w:tc>
      </w:tr>
      <w:tr w14:paraId="3354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405" w:type="dxa"/>
          </w:tcPr>
          <w:p w14:paraId="216C299C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容</w:t>
            </w:r>
          </w:p>
          <w:p w14:paraId="4C08485C">
            <w:pPr>
              <w:rPr>
                <w:rFonts w:ascii="Times New Roman" w:hAnsi="Times New Roman" w:eastAsia="宋体"/>
              </w:rPr>
            </w:pPr>
          </w:p>
          <w:p w14:paraId="23596141">
            <w:pPr>
              <w:rPr>
                <w:rFonts w:ascii="Times New Roman" w:hAnsi="Times New Roman" w:eastAsia="宋体"/>
              </w:rPr>
            </w:pPr>
          </w:p>
          <w:p w14:paraId="0DFCF49C">
            <w:pPr>
              <w:rPr>
                <w:rFonts w:ascii="Times New Roman" w:hAnsi="Times New Roman" w:eastAsia="宋体"/>
              </w:rPr>
            </w:pPr>
          </w:p>
          <w:p w14:paraId="57EA529D">
            <w:pPr>
              <w:rPr>
                <w:rFonts w:ascii="Times New Roman" w:hAnsi="Times New Roman" w:eastAsia="宋体"/>
              </w:rPr>
            </w:pPr>
          </w:p>
          <w:p w14:paraId="09EE74DB">
            <w:pPr>
              <w:rPr>
                <w:rFonts w:ascii="Times New Roman" w:hAnsi="Times New Roman" w:eastAsia="宋体"/>
              </w:rPr>
            </w:pPr>
          </w:p>
          <w:p w14:paraId="14525C1C">
            <w:pPr>
              <w:rPr>
                <w:rFonts w:ascii="Times New Roman" w:hAnsi="Times New Roman" w:eastAsia="宋体"/>
              </w:rPr>
            </w:pPr>
          </w:p>
          <w:p w14:paraId="6C3A92C8">
            <w:pPr>
              <w:rPr>
                <w:rFonts w:ascii="Times New Roman" w:hAnsi="Times New Roman" w:eastAsia="宋体"/>
              </w:rPr>
            </w:pPr>
          </w:p>
          <w:p w14:paraId="1A3EDEF4">
            <w:pPr>
              <w:rPr>
                <w:rFonts w:ascii="Times New Roman" w:hAnsi="Times New Roman" w:eastAsia="宋体"/>
              </w:rPr>
            </w:pPr>
          </w:p>
          <w:p w14:paraId="050F629B">
            <w:pPr>
              <w:rPr>
                <w:rFonts w:ascii="Times New Roman" w:hAnsi="Times New Roman" w:eastAsia="宋体"/>
              </w:rPr>
            </w:pPr>
          </w:p>
          <w:p w14:paraId="57C73A86">
            <w:pPr>
              <w:rPr>
                <w:rFonts w:ascii="Times New Roman" w:hAnsi="Times New Roman" w:eastAsia="宋体"/>
              </w:rPr>
            </w:pPr>
          </w:p>
          <w:p w14:paraId="36221311">
            <w:pPr>
              <w:rPr>
                <w:rFonts w:ascii="Times New Roman" w:hAnsi="Times New Roman" w:eastAsia="宋体"/>
              </w:rPr>
            </w:pPr>
          </w:p>
          <w:p w14:paraId="6DC3D4C4">
            <w:pPr>
              <w:rPr>
                <w:rFonts w:ascii="Times New Roman" w:hAnsi="Times New Roman" w:eastAsia="宋体"/>
              </w:rPr>
            </w:pPr>
          </w:p>
          <w:p w14:paraId="1FBFDE0F">
            <w:pPr>
              <w:rPr>
                <w:rFonts w:ascii="Times New Roman" w:hAnsi="Times New Roman" w:eastAsia="宋体"/>
              </w:rPr>
            </w:pPr>
          </w:p>
          <w:p w14:paraId="4A31162A">
            <w:pPr>
              <w:rPr>
                <w:rFonts w:ascii="Times New Roman" w:hAnsi="Times New Roman" w:eastAsia="宋体"/>
              </w:rPr>
            </w:pPr>
          </w:p>
          <w:p w14:paraId="657084D1">
            <w:pPr>
              <w:rPr>
                <w:rFonts w:ascii="Times New Roman" w:hAnsi="Times New Roman" w:eastAsia="宋体"/>
              </w:rPr>
            </w:pPr>
          </w:p>
          <w:p w14:paraId="6F78A54E">
            <w:pPr>
              <w:rPr>
                <w:rFonts w:ascii="Times New Roman" w:hAnsi="Times New Roman" w:eastAsia="宋体"/>
              </w:rPr>
            </w:pPr>
          </w:p>
          <w:p w14:paraId="63C1A335">
            <w:pPr>
              <w:rPr>
                <w:rFonts w:ascii="Times New Roman" w:hAnsi="Times New Roman" w:eastAsia="宋体"/>
              </w:rPr>
            </w:pPr>
          </w:p>
          <w:p w14:paraId="36B50CB0">
            <w:pPr>
              <w:rPr>
                <w:rFonts w:ascii="Times New Roman" w:hAnsi="Times New Roman" w:eastAsia="宋体"/>
              </w:rPr>
            </w:pPr>
          </w:p>
          <w:p w14:paraId="431FB631">
            <w:pPr>
              <w:rPr>
                <w:rFonts w:ascii="Times New Roman" w:hAnsi="Times New Roman" w:eastAsia="宋体"/>
              </w:rPr>
            </w:pPr>
          </w:p>
          <w:p w14:paraId="77EA2D9E">
            <w:pPr>
              <w:rPr>
                <w:rFonts w:ascii="Times New Roman" w:hAnsi="Times New Roman" w:eastAsia="宋体"/>
              </w:rPr>
            </w:pPr>
          </w:p>
          <w:p w14:paraId="4189F557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320" w:type="dxa"/>
            <w:gridSpan w:val="5"/>
          </w:tcPr>
          <w:p w14:paraId="039D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（一）目的</w:t>
            </w:r>
          </w:p>
          <w:p w14:paraId="5FC6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为使医学伦理委员会违背方案审查的受理、处理、审查、传达决定、文件存档的工作有章可循，特制定本规程，以从程序上保证违背方案审查工作的质量。</w:t>
            </w:r>
          </w:p>
          <w:p w14:paraId="643B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（二）范围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 w14:paraId="4A3742C4">
            <w:pPr>
              <w:pStyle w:val="8"/>
              <w:widowControl/>
              <w:numPr>
                <w:ilvl w:val="0"/>
                <w:numId w:val="0"/>
              </w:numPr>
              <w:spacing w:line="240" w:lineRule="auto"/>
              <w:ind w:firstLine="56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为避免研究对受试者的紧急危害，研究者可在伦理委员会同意前违背研究方案，事后应及时向伦理委员会报告任何违背已同意方案之处并作解释。增加受试者风险或者显著影响临床研究实施的违背方案，申请人应当及时向伦理委员会报告。</w:t>
            </w:r>
          </w:p>
          <w:p w14:paraId="6C6E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  <w:r>
              <w:rPr>
                <w:sz w:val="28"/>
                <w:szCs w:val="28"/>
              </w:rPr>
              <w:t>SOP</w:t>
            </w:r>
            <w:r>
              <w:rPr>
                <w:rFonts w:hint="eastAsia"/>
                <w:sz w:val="28"/>
                <w:szCs w:val="28"/>
              </w:rPr>
              <w:t>适用于医学伦理委员会对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重大</w:t>
            </w:r>
            <w:r>
              <w:rPr>
                <w:rFonts w:hint="eastAsia"/>
                <w:sz w:val="28"/>
                <w:szCs w:val="28"/>
              </w:rPr>
              <w:t>“违背方案报告”所进行的违背方案审查。</w:t>
            </w:r>
          </w:p>
          <w:p w14:paraId="69A0B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（三）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规程</w:t>
            </w:r>
          </w:p>
          <w:p w14:paraId="100F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、受理：形式审查</w:t>
            </w:r>
          </w:p>
          <w:p w14:paraId="0B3423EF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）送审文件的完整性。违背方案审查的送审文件包括</w:t>
            </w:r>
            <w:r>
              <w:rPr>
                <w:rFonts w:hint="eastAsia"/>
                <w:sz w:val="28"/>
                <w:szCs w:val="28"/>
                <w:lang w:eastAsia="zh-CN"/>
              </w:rPr>
              <w:t>递交信，</w:t>
            </w:r>
            <w:r>
              <w:rPr>
                <w:rFonts w:hint="eastAsia"/>
                <w:sz w:val="28"/>
                <w:szCs w:val="28"/>
              </w:rPr>
              <w:t>组长单位伦理审查意见</w:t>
            </w:r>
            <w:r>
              <w:rPr>
                <w:rFonts w:hint="eastAsia"/>
                <w:sz w:val="28"/>
                <w:szCs w:val="28"/>
                <w:lang w:eastAsia="zh-CN"/>
              </w:rPr>
              <w:t>（如适用），</w:t>
            </w:r>
            <w:r>
              <w:rPr>
                <w:rFonts w:hint="eastAsia"/>
                <w:sz w:val="28"/>
                <w:szCs w:val="28"/>
              </w:rPr>
              <w:t>“违背方案报告”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违背方案审查送审文件清单，</w:t>
            </w:r>
            <w:r>
              <w:rPr>
                <w:rFonts w:hint="eastAsia"/>
                <w:sz w:val="28"/>
                <w:szCs w:val="28"/>
                <w:lang w:eastAsia="zh-CN"/>
              </w:rPr>
              <w:t>其他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38A1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）送审文件的要素。“违背方案报告”填写正确、完整，申请人签名并注明时间。</w:t>
            </w:r>
          </w:p>
          <w:p w14:paraId="768B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、处理</w:t>
            </w:r>
          </w:p>
          <w:p w14:paraId="1A25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）决定审查方式</w:t>
            </w:r>
          </w:p>
          <w:p w14:paraId="6EB1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会议审查：①重大的违背方案：研究纳入了不符合纳入标准或符合排除标准的受试者，符合终止</w:t>
            </w:r>
            <w:r>
              <w:rPr>
                <w:rFonts w:hint="eastAsia"/>
                <w:sz w:val="28"/>
                <w:szCs w:val="28"/>
                <w:lang w:eastAsia="zh-CN"/>
              </w:rPr>
              <w:t>研究</w:t>
            </w:r>
            <w:r>
              <w:rPr>
                <w:rFonts w:hint="eastAsia"/>
                <w:sz w:val="28"/>
                <w:szCs w:val="28"/>
              </w:rPr>
              <w:t>规定而末让受试者退出研究，给予错误治疗或剂量，给予方案禁止的合并用药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未按方案要求进行安全性指标、主要疗效指标或关键的次要指标的检查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没有遵从方案开展研究的情况</w:t>
            </w:r>
            <w:r>
              <w:rPr>
                <w:rFonts w:hint="eastAsia"/>
                <w:sz w:val="28"/>
                <w:szCs w:val="28"/>
                <w:lang w:eastAsia="zh-CN"/>
              </w:rPr>
              <w:t>；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或者</w:t>
            </w:r>
            <w:r>
              <w:rPr>
                <w:rFonts w:hint="eastAsia"/>
                <w:sz w:val="28"/>
                <w:szCs w:val="28"/>
              </w:rPr>
              <w:t>可能对受试者的权益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/>
                <w:sz w:val="28"/>
                <w:szCs w:val="28"/>
                <w:lang w:eastAsia="zh-CN"/>
              </w:rPr>
              <w:t>安全、</w:t>
            </w:r>
            <w:r>
              <w:rPr>
                <w:rFonts w:hint="eastAsia"/>
                <w:sz w:val="28"/>
                <w:szCs w:val="28"/>
              </w:rPr>
              <w:t>以及研究的科学性造成显著影响的情况。②持续违背方案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指同一研究人员的同一违规行为在被要求纠正后，在后续研究工作中又多次发生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，或研究者不配合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监查</w:t>
            </w:r>
            <w:r>
              <w:rPr>
                <w:rFonts w:hint="eastAsia"/>
                <w:sz w:val="28"/>
                <w:szCs w:val="28"/>
              </w:rPr>
              <w:t>／稽查，或对违规事件不予以纠正。③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为避免研究对受试者紧急危害的违背方案</w:t>
            </w:r>
            <w:r>
              <w:rPr>
                <w:rFonts w:hint="eastAsia"/>
                <w:sz w:val="28"/>
                <w:szCs w:val="28"/>
              </w:rPr>
              <w:t>。④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方案规定的其他需要报告的类型。</w:t>
            </w:r>
          </w:p>
          <w:p w14:paraId="28FB1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）审查的准备</w:t>
            </w:r>
          </w:p>
          <w:p w14:paraId="696C3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主审的准备：①主审委员的选择：每个项目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主任委员指定2</w:t>
            </w:r>
            <w:r>
              <w:rPr>
                <w:rFonts w:hint="eastAsia"/>
                <w:sz w:val="28"/>
                <w:szCs w:val="28"/>
              </w:rPr>
              <w:t>名主审委员；会议审查优先选择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/>
                <w:sz w:val="28"/>
                <w:szCs w:val="28"/>
              </w:rPr>
              <w:t>主审委员，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若初审</w:t>
            </w:r>
            <w:r>
              <w:rPr>
                <w:rFonts w:hint="eastAsia"/>
                <w:sz w:val="28"/>
                <w:szCs w:val="28"/>
              </w:rPr>
              <w:t>主审委员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无法审查，则按照《初始审查的标准操作规程》</w:t>
            </w:r>
            <w:r>
              <w:rPr>
                <w:rFonts w:hint="eastAsia"/>
                <w:sz w:val="28"/>
                <w:szCs w:val="28"/>
              </w:rPr>
              <w:t>主审委员的选择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指定主审委员</w:t>
            </w:r>
            <w:r>
              <w:rPr>
                <w:rFonts w:hint="eastAsia"/>
                <w:sz w:val="28"/>
                <w:szCs w:val="28"/>
              </w:rPr>
              <w:t>；②准备审查文件：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秘书</w:t>
            </w:r>
            <w:r>
              <w:rPr>
                <w:rFonts w:hint="eastAsia"/>
                <w:sz w:val="28"/>
                <w:szCs w:val="28"/>
              </w:rPr>
              <w:t>为主审委员准备主审项目的整套送审文件</w:t>
            </w:r>
            <w:r>
              <w:rPr>
                <w:rFonts w:hint="eastAsia"/>
                <w:sz w:val="28"/>
                <w:szCs w:val="28"/>
                <w:lang w:eastAsia="zh-CN"/>
              </w:rPr>
              <w:t>以及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审查工作表</w:t>
            </w:r>
            <w:r>
              <w:rPr>
                <w:rFonts w:hint="eastAsia"/>
                <w:sz w:val="28"/>
                <w:szCs w:val="28"/>
              </w:rPr>
              <w:t>”；必要时，提供查阅当前使用版本的方案和知情同意书的便利条件。</w:t>
            </w:r>
          </w:p>
          <w:p w14:paraId="1594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、审查</w:t>
            </w:r>
          </w:p>
          <w:p w14:paraId="36A8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）审查程序</w:t>
            </w:r>
          </w:p>
          <w:p w14:paraId="0A50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eastAsia="zh-CN"/>
              </w:rPr>
              <w:t>会议审查。</w:t>
            </w:r>
          </w:p>
          <w:p w14:paraId="5308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2）</w:t>
            </w:r>
            <w:r>
              <w:rPr>
                <w:rFonts w:hint="eastAsia"/>
                <w:sz w:val="28"/>
                <w:szCs w:val="28"/>
              </w:rPr>
              <w:t>快速审查。</w:t>
            </w:r>
          </w:p>
          <w:p w14:paraId="157F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）审查要素</w:t>
            </w:r>
          </w:p>
          <w:p w14:paraId="0360A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）是否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增加</w:t>
            </w:r>
            <w:r>
              <w:rPr>
                <w:rFonts w:hint="eastAsia"/>
                <w:sz w:val="28"/>
                <w:szCs w:val="28"/>
              </w:rPr>
              <w:t>受试者的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风险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0DAF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）是否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降低</w:t>
            </w:r>
            <w:r>
              <w:rPr>
                <w:rFonts w:hint="eastAsia"/>
                <w:sz w:val="28"/>
                <w:szCs w:val="28"/>
              </w:rPr>
              <w:t>受试者的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获益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6E1B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3）是否对研究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/>
                <w:sz w:val="28"/>
                <w:szCs w:val="28"/>
              </w:rPr>
              <w:t>产生显著影响。</w:t>
            </w:r>
          </w:p>
          <w:p w14:paraId="685E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4）对违背方案采取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的纠正</w:t>
            </w:r>
            <w:r>
              <w:rPr>
                <w:rFonts w:hint="eastAsia"/>
                <w:sz w:val="28"/>
                <w:szCs w:val="28"/>
              </w:rPr>
              <w:t>措施是否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合适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404E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是否有必要修改方案或知情同意书。</w:t>
            </w:r>
          </w:p>
          <w:p w14:paraId="7F54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6）是否要求观察知情同意的过程，观察研究的实施。</w:t>
            </w:r>
          </w:p>
          <w:p w14:paraId="62D7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7）是否要求审查意见通知研究管理部门，采取必要的管理措施。</w:t>
            </w:r>
          </w:p>
          <w:p w14:paraId="7833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8）研究是否继续满足伦理审查同意研究的标准。</w:t>
            </w:r>
          </w:p>
          <w:p w14:paraId="6390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）审查决定</w:t>
            </w:r>
          </w:p>
          <w:p w14:paraId="1C20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）是否同意研究继续进行：①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同意（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同意研究继续进行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；②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必要的修改后同意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 w:ascii="Times New Roman" w:hAnsi="Times New Roman" w:cs="宋体" w:eastAsiaTheme="minorEastAsia"/>
                <w:kern w:val="0"/>
                <w:sz w:val="28"/>
                <w:szCs w:val="28"/>
                <w:lang w:eastAsia="zh-CN"/>
              </w:rPr>
              <w:t>③必要的修改后重审（如适用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④终止或者暂停已同意的研究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5C8C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）“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必要的修改后同意</w:t>
            </w:r>
            <w:r>
              <w:rPr>
                <w:rFonts w:hint="eastAsia"/>
                <w:sz w:val="28"/>
                <w:szCs w:val="28"/>
              </w:rPr>
              <w:t>”同时可以提出建议，建议包括（但不限于）：修正方案和／或知情同意书，重新获取知情同意，重新培训研究者，在高年资研究人员指导下工作，限制参加研究的权利，拒绝受理来自该</w:t>
            </w:r>
            <w:r>
              <w:rPr>
                <w:rFonts w:hint="eastAsia"/>
                <w:sz w:val="28"/>
                <w:szCs w:val="28"/>
                <w:lang w:eastAsia="zh-CN"/>
              </w:rPr>
              <w:t>主要</w:t>
            </w:r>
            <w:r>
              <w:rPr>
                <w:rFonts w:hint="eastAsia"/>
                <w:sz w:val="28"/>
                <w:szCs w:val="28"/>
              </w:rPr>
              <w:t>研究者的后续研究申请；必要时，建议医院相关职能部门采取进一步的处理措施。</w:t>
            </w:r>
          </w:p>
          <w:p w14:paraId="2BDC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）跟踪审查频率：根据违背方案对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研究风险程度变化的影响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主审委员</w:t>
            </w:r>
            <w:r>
              <w:rPr>
                <w:rFonts w:hint="eastAsia"/>
                <w:sz w:val="28"/>
                <w:szCs w:val="28"/>
              </w:rPr>
              <w:t>决定是否调整跟踪审查的频率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最长不超过12个月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4F74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）（快速审查）是否更改审查方式：提交会议审查。</w:t>
            </w:r>
          </w:p>
          <w:p w14:paraId="7E4AD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、传达决定</w:t>
            </w:r>
          </w:p>
          <w:p w14:paraId="6A00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）传达形式：所有决定均以“伦理审查意见”的形式传达。</w:t>
            </w:r>
          </w:p>
          <w:p w14:paraId="23AAD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）传达时限：在审查决定后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个工作日内完成决定的传达。</w:t>
            </w:r>
          </w:p>
          <w:p w14:paraId="23763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、文件存档。</w:t>
            </w:r>
          </w:p>
          <w:p w14:paraId="4792BA9A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）审查过程中形成、积累、保存的文件，按审查阶段及时存档或归档、建立／更新项目档案目录。</w:t>
            </w:r>
          </w:p>
          <w:p w14:paraId="6FAB54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）会议审查的项目存档文件：项目送审文件，“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审查工作表</w:t>
            </w:r>
            <w:r>
              <w:rPr>
                <w:rFonts w:hint="eastAsia"/>
                <w:sz w:val="28"/>
                <w:szCs w:val="28"/>
              </w:rPr>
              <w:t>”，会议签到表，会议</w:t>
            </w:r>
            <w:r>
              <w:rPr>
                <w:rFonts w:hint="eastAsia"/>
                <w:sz w:val="28"/>
                <w:szCs w:val="28"/>
                <w:lang w:eastAsia="zh-CN"/>
              </w:rPr>
              <w:t>审查</w:t>
            </w:r>
            <w:r>
              <w:rPr>
                <w:rFonts w:hint="eastAsia"/>
                <w:sz w:val="28"/>
                <w:szCs w:val="28"/>
              </w:rPr>
              <w:t>决定表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投票单，会议记录，伦理审查决定文件。</w:t>
            </w:r>
          </w:p>
          <w:p w14:paraId="61546D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）快速审查的项目存档文件：项目送审文件，</w:t>
            </w:r>
            <w:r>
              <w:rPr>
                <w:rFonts w:hint="eastAsia"/>
                <w:sz w:val="28"/>
                <w:szCs w:val="28"/>
                <w:lang w:eastAsia="zh-CN"/>
              </w:rPr>
              <w:t>“审查工作表”</w:t>
            </w:r>
            <w:r>
              <w:rPr>
                <w:rFonts w:hint="eastAsia"/>
                <w:sz w:val="28"/>
                <w:szCs w:val="28"/>
              </w:rPr>
              <w:t>，快审主审综合意见，伦理审查决定文件。</w:t>
            </w:r>
          </w:p>
          <w:p w14:paraId="0E3CC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eastAsia="zh-CN"/>
              </w:rPr>
              <w:t>附件</w:t>
            </w:r>
          </w:p>
          <w:p w14:paraId="0312C975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1、违背方案审查工作表</w:t>
            </w:r>
          </w:p>
          <w:p w14:paraId="78ED32D3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2、违背方案报告</w:t>
            </w:r>
          </w:p>
          <w:p w14:paraId="565084F2">
            <w:pPr>
              <w:ind w:firstLine="0" w:firstLineChars="0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3、违背方案审查送审文件清单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44CC0F5C">
      <w:pPr>
        <w:jc w:val="center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553D1"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23C200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692D2">
    <w:pPr>
      <w:pStyle w:val="4"/>
      <w:jc w:val="center"/>
      <w:rPr>
        <w:b/>
        <w:bCs/>
        <w:sz w:val="21"/>
        <w:szCs w:val="21"/>
      </w:rPr>
    </w:pPr>
    <w:r>
      <w:rPr>
        <w:rFonts w:hint="eastAsia"/>
        <w:b/>
        <w:bCs/>
        <w:sz w:val="21"/>
        <w:szCs w:val="21"/>
      </w:rPr>
      <w:t>延安大学咸阳医院</w:t>
    </w:r>
    <w:r>
      <w:rPr>
        <w:rFonts w:hint="eastAsia"/>
        <w:b/>
        <w:bCs/>
        <w:sz w:val="21"/>
        <w:szCs w:val="21"/>
        <w:lang w:eastAsia="zh-CN"/>
      </w:rPr>
      <w:t>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3MDc0YmQwMWRhZjI3Y2U3YTlhZjU4Nzk1ZWFlMDEifQ=="/>
  </w:docVars>
  <w:rsids>
    <w:rsidRoot w:val="00AA208C"/>
    <w:rsid w:val="00457522"/>
    <w:rsid w:val="005913B5"/>
    <w:rsid w:val="005D7D24"/>
    <w:rsid w:val="00674179"/>
    <w:rsid w:val="008C186F"/>
    <w:rsid w:val="00AA208C"/>
    <w:rsid w:val="00BB1D3B"/>
    <w:rsid w:val="00DB6B4C"/>
    <w:rsid w:val="00DD1695"/>
    <w:rsid w:val="02671E8B"/>
    <w:rsid w:val="061D1AB0"/>
    <w:rsid w:val="08251E08"/>
    <w:rsid w:val="0B6941B3"/>
    <w:rsid w:val="0DD47DF6"/>
    <w:rsid w:val="0F815A34"/>
    <w:rsid w:val="11424DA6"/>
    <w:rsid w:val="119D0D26"/>
    <w:rsid w:val="14221993"/>
    <w:rsid w:val="14BD61CB"/>
    <w:rsid w:val="14BF4551"/>
    <w:rsid w:val="151242E9"/>
    <w:rsid w:val="166A4785"/>
    <w:rsid w:val="181050A6"/>
    <w:rsid w:val="1E2B0662"/>
    <w:rsid w:val="1FC559D7"/>
    <w:rsid w:val="215D400B"/>
    <w:rsid w:val="21DD4356"/>
    <w:rsid w:val="24F41A0F"/>
    <w:rsid w:val="25871B75"/>
    <w:rsid w:val="26933CB2"/>
    <w:rsid w:val="26EA179E"/>
    <w:rsid w:val="27D70728"/>
    <w:rsid w:val="28F9552D"/>
    <w:rsid w:val="2928599B"/>
    <w:rsid w:val="2C5F0370"/>
    <w:rsid w:val="2C6C2AA6"/>
    <w:rsid w:val="2C7A78E2"/>
    <w:rsid w:val="2CC61D4B"/>
    <w:rsid w:val="2D7C65AA"/>
    <w:rsid w:val="2E4D27DA"/>
    <w:rsid w:val="320745F4"/>
    <w:rsid w:val="35535834"/>
    <w:rsid w:val="36260D4F"/>
    <w:rsid w:val="37464CA7"/>
    <w:rsid w:val="377B0823"/>
    <w:rsid w:val="37E0685B"/>
    <w:rsid w:val="39610807"/>
    <w:rsid w:val="3AE76634"/>
    <w:rsid w:val="3C3C2A9B"/>
    <w:rsid w:val="3F9E4DD9"/>
    <w:rsid w:val="3FF63C05"/>
    <w:rsid w:val="41B63752"/>
    <w:rsid w:val="41BD190C"/>
    <w:rsid w:val="42A0489B"/>
    <w:rsid w:val="4335778E"/>
    <w:rsid w:val="433A0289"/>
    <w:rsid w:val="43AF27E6"/>
    <w:rsid w:val="45372BC7"/>
    <w:rsid w:val="45C74664"/>
    <w:rsid w:val="45DB49FB"/>
    <w:rsid w:val="4AE368E5"/>
    <w:rsid w:val="4BA566D3"/>
    <w:rsid w:val="4DDC3932"/>
    <w:rsid w:val="4EDB463D"/>
    <w:rsid w:val="527F1EDB"/>
    <w:rsid w:val="52E066C6"/>
    <w:rsid w:val="534F4B3D"/>
    <w:rsid w:val="53C0752F"/>
    <w:rsid w:val="5492791F"/>
    <w:rsid w:val="55284F96"/>
    <w:rsid w:val="575507F0"/>
    <w:rsid w:val="586C5A56"/>
    <w:rsid w:val="58B23C1A"/>
    <w:rsid w:val="5AE62EBA"/>
    <w:rsid w:val="5B0D2810"/>
    <w:rsid w:val="5E17730F"/>
    <w:rsid w:val="60DE42E3"/>
    <w:rsid w:val="62AF3292"/>
    <w:rsid w:val="639502D6"/>
    <w:rsid w:val="63B349B2"/>
    <w:rsid w:val="65C00FAE"/>
    <w:rsid w:val="65D23B58"/>
    <w:rsid w:val="6CF30B8A"/>
    <w:rsid w:val="6E486855"/>
    <w:rsid w:val="72CD361F"/>
    <w:rsid w:val="746A51E0"/>
    <w:rsid w:val="74852670"/>
    <w:rsid w:val="761170AD"/>
    <w:rsid w:val="76D565E4"/>
    <w:rsid w:val="7D4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1567</Words>
  <Characters>1588</Characters>
  <Lines>16</Lines>
  <Paragraphs>4</Paragraphs>
  <TotalTime>0</TotalTime>
  <ScaleCrop>false</ScaleCrop>
  <LinksUpToDate>false</LinksUpToDate>
  <CharactersWithSpaces>1611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Hao</cp:lastModifiedBy>
  <dcterms:modified xsi:type="dcterms:W3CDTF">2025-08-19T03:20:24Z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896EA192383D4B2F819CD78051DF984D_12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