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FD701">
      <w:pPr>
        <w:jc w:val="center"/>
        <w:rPr>
          <w:b/>
          <w:bCs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</w:rPr>
        <w:t>伦理委员会</w:t>
      </w:r>
      <w:r>
        <w:rPr>
          <w:rFonts w:hint="eastAsia"/>
          <w:b/>
          <w:bCs/>
          <w:sz w:val="32"/>
          <w:szCs w:val="32"/>
          <w:lang w:eastAsia="zh-CN"/>
        </w:rPr>
        <w:t>标准操作规程</w:t>
      </w:r>
      <w:bookmarkStart w:id="0" w:name="_GoBack"/>
      <w:bookmarkEnd w:id="0"/>
    </w:p>
    <w:tbl>
      <w:tblPr>
        <w:tblStyle w:val="6"/>
        <w:tblpPr w:leftFromText="180" w:rightFromText="180" w:vertAnchor="page" w:horzAnchor="page" w:tblpX="1702" w:tblpY="2148"/>
        <w:tblOverlap w:val="never"/>
        <w:tblW w:w="87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515"/>
        <w:gridCol w:w="1530"/>
        <w:gridCol w:w="1365"/>
        <w:gridCol w:w="1380"/>
        <w:gridCol w:w="1530"/>
      </w:tblGrid>
      <w:tr w14:paraId="7C7F2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05" w:type="dxa"/>
          </w:tcPr>
          <w:p w14:paraId="20B377D5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题</w:t>
            </w: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目</w:t>
            </w:r>
          </w:p>
        </w:tc>
        <w:tc>
          <w:tcPr>
            <w:tcW w:w="7320" w:type="dxa"/>
            <w:gridSpan w:val="5"/>
          </w:tcPr>
          <w:p w14:paraId="5D5D4F97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 w:val="28"/>
                <w:szCs w:val="28"/>
              </w:rPr>
              <w:t>年度／定期跟踪审查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的标准操作规程</w:t>
            </w:r>
          </w:p>
        </w:tc>
      </w:tr>
      <w:tr w14:paraId="1D201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05" w:type="dxa"/>
            <w:vAlign w:val="top"/>
          </w:tcPr>
          <w:p w14:paraId="65427714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拟定人</w:t>
            </w:r>
          </w:p>
        </w:tc>
        <w:tc>
          <w:tcPr>
            <w:tcW w:w="1515" w:type="dxa"/>
            <w:vAlign w:val="top"/>
          </w:tcPr>
          <w:p w14:paraId="7BE249A2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color w:val="auto"/>
                <w:sz w:val="28"/>
                <w:szCs w:val="28"/>
                <w:u w:val="none"/>
                <w:lang w:val="en-US" w:eastAsia="zh-CN"/>
              </w:rPr>
              <w:t>徐佳浩</w:t>
            </w:r>
          </w:p>
        </w:tc>
        <w:tc>
          <w:tcPr>
            <w:tcW w:w="1530" w:type="dxa"/>
            <w:vAlign w:val="top"/>
          </w:tcPr>
          <w:p w14:paraId="2919002E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eastAsia="宋体"/>
                <w:b/>
                <w:bCs/>
                <w:color w:val="auto"/>
                <w:sz w:val="28"/>
                <w:szCs w:val="28"/>
                <w:u w:val="none"/>
              </w:rPr>
              <w:t>审核人</w:t>
            </w:r>
          </w:p>
        </w:tc>
        <w:tc>
          <w:tcPr>
            <w:tcW w:w="1365" w:type="dxa"/>
            <w:vAlign w:val="top"/>
          </w:tcPr>
          <w:p w14:paraId="18408A2C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color w:val="auto"/>
                <w:sz w:val="28"/>
                <w:szCs w:val="28"/>
                <w:u w:val="none"/>
                <w:lang w:val="en-US" w:eastAsia="zh-CN"/>
              </w:rPr>
              <w:t>巨涛</w:t>
            </w:r>
          </w:p>
        </w:tc>
        <w:tc>
          <w:tcPr>
            <w:tcW w:w="1380" w:type="dxa"/>
            <w:vAlign w:val="top"/>
          </w:tcPr>
          <w:p w14:paraId="5584EF61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eastAsia="宋体"/>
                <w:b/>
                <w:bCs/>
                <w:color w:val="auto"/>
                <w:sz w:val="28"/>
                <w:szCs w:val="28"/>
                <w:u w:val="none"/>
              </w:rPr>
              <w:t>批准人</w:t>
            </w:r>
          </w:p>
        </w:tc>
        <w:tc>
          <w:tcPr>
            <w:tcW w:w="1530" w:type="dxa"/>
            <w:vAlign w:val="top"/>
          </w:tcPr>
          <w:p w14:paraId="3D91D295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color w:val="auto"/>
                <w:sz w:val="28"/>
                <w:szCs w:val="28"/>
                <w:u w:val="none"/>
                <w:lang w:val="en-US" w:eastAsia="zh-CN"/>
              </w:rPr>
              <w:t>张海涛</w:t>
            </w:r>
          </w:p>
        </w:tc>
      </w:tr>
      <w:tr w14:paraId="52CCC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405" w:type="dxa"/>
            <w:vAlign w:val="top"/>
          </w:tcPr>
          <w:p w14:paraId="2F02A926">
            <w:pPr>
              <w:jc w:val="center"/>
              <w:rPr>
                <w:rFonts w:hint="eastAsia" w:asci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宋体"/>
                <w:b/>
                <w:bCs/>
                <w:sz w:val="28"/>
                <w:szCs w:val="28"/>
                <w:lang w:val="en-US" w:eastAsia="zh-CN"/>
              </w:rPr>
              <w:t>拟定时间</w:t>
            </w:r>
          </w:p>
        </w:tc>
        <w:tc>
          <w:tcPr>
            <w:tcW w:w="1515" w:type="dxa"/>
            <w:vAlign w:val="top"/>
          </w:tcPr>
          <w:p w14:paraId="467BDACD">
            <w:pPr>
              <w:jc w:val="center"/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sz w:val="28"/>
                <w:szCs w:val="28"/>
                <w:u w:val="none"/>
                <w:lang w:val="en-US" w:eastAsia="zh-CN"/>
              </w:rPr>
              <w:t>2025.8.11</w:t>
            </w:r>
          </w:p>
        </w:tc>
        <w:tc>
          <w:tcPr>
            <w:tcW w:w="1530" w:type="dxa"/>
            <w:vAlign w:val="top"/>
          </w:tcPr>
          <w:p w14:paraId="12B19166">
            <w:pPr>
              <w:jc w:val="center"/>
              <w:rPr>
                <w:rFonts w:hint="eastAsia" w:asci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宋体"/>
                <w:b/>
                <w:bCs/>
                <w:color w:val="auto"/>
                <w:sz w:val="28"/>
                <w:szCs w:val="28"/>
                <w:u w:val="none"/>
              </w:rPr>
              <w:t>审核</w:t>
            </w:r>
            <w:r>
              <w:rPr>
                <w:rFonts w:hint="eastAsia" w:ascii="Times New Roman" w:eastAsia="宋体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时间</w:t>
            </w:r>
          </w:p>
        </w:tc>
        <w:tc>
          <w:tcPr>
            <w:tcW w:w="1365" w:type="dxa"/>
            <w:vAlign w:val="top"/>
          </w:tcPr>
          <w:p w14:paraId="57AF9E29">
            <w:pPr>
              <w:jc w:val="center"/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sz w:val="28"/>
                <w:szCs w:val="28"/>
                <w:u w:val="none"/>
                <w:lang w:val="en-US" w:eastAsia="zh-CN"/>
              </w:rPr>
              <w:t>2025.8.18</w:t>
            </w:r>
          </w:p>
        </w:tc>
        <w:tc>
          <w:tcPr>
            <w:tcW w:w="1380" w:type="dxa"/>
            <w:vAlign w:val="top"/>
          </w:tcPr>
          <w:p w14:paraId="5D68DAD2">
            <w:pPr>
              <w:jc w:val="center"/>
              <w:rPr>
                <w:rFonts w:hint="eastAsia" w:asci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宋体"/>
                <w:b/>
                <w:bCs/>
                <w:color w:val="auto"/>
                <w:sz w:val="28"/>
                <w:szCs w:val="28"/>
                <w:u w:val="none"/>
              </w:rPr>
              <w:t>批准</w:t>
            </w:r>
            <w:r>
              <w:rPr>
                <w:rFonts w:hint="eastAsia" w:ascii="Times New Roman" w:eastAsia="宋体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时间</w:t>
            </w:r>
          </w:p>
        </w:tc>
        <w:tc>
          <w:tcPr>
            <w:tcW w:w="1530" w:type="dxa"/>
            <w:vAlign w:val="top"/>
          </w:tcPr>
          <w:p w14:paraId="605843BF">
            <w:pPr>
              <w:jc w:val="center"/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sz w:val="28"/>
                <w:szCs w:val="28"/>
                <w:u w:val="none"/>
                <w:lang w:val="en-US" w:eastAsia="zh-CN"/>
              </w:rPr>
              <w:t>2025.8.25</w:t>
            </w:r>
          </w:p>
        </w:tc>
      </w:tr>
      <w:tr w14:paraId="3EBB4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405" w:type="dxa"/>
            <w:vAlign w:val="top"/>
          </w:tcPr>
          <w:p w14:paraId="0558082A">
            <w:pPr>
              <w:jc w:val="center"/>
              <w:rPr>
                <w:rFonts w:hint="eastAsia" w:asci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编</w:t>
            </w: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3045" w:type="dxa"/>
            <w:gridSpan w:val="2"/>
            <w:vAlign w:val="top"/>
          </w:tcPr>
          <w:p w14:paraId="5017F1FC">
            <w:pPr>
              <w:jc w:val="center"/>
              <w:rPr>
                <w:rFonts w:hint="default" w:ascii="Times New Roman" w:eastAsia="宋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 Light"/>
                <w:sz w:val="28"/>
                <w:szCs w:val="28"/>
              </w:rPr>
              <w:t>YDXY-EC-SOP-00</w:t>
            </w:r>
            <w:r>
              <w:rPr>
                <w:rFonts w:hint="eastAsia" w:ascii="Calibri Light"/>
                <w:sz w:val="28"/>
                <w:szCs w:val="28"/>
                <w:lang w:val="en-US" w:eastAsia="zh-CN"/>
              </w:rPr>
              <w:t>3</w:t>
            </w:r>
            <w:r>
              <w:rPr>
                <w:rFonts w:ascii="Calibri Light"/>
                <w:sz w:val="28"/>
                <w:szCs w:val="28"/>
              </w:rPr>
              <w:t>-</w:t>
            </w:r>
            <w:r>
              <w:rPr>
                <w:rFonts w:hint="eastAsia" w:ascii="Calibri Light"/>
                <w:sz w:val="28"/>
                <w:szCs w:val="28"/>
                <w:lang w:val="en-US" w:eastAsia="zh-CN"/>
              </w:rPr>
              <w:t>3.1</w:t>
            </w:r>
          </w:p>
        </w:tc>
        <w:tc>
          <w:tcPr>
            <w:tcW w:w="1365" w:type="dxa"/>
            <w:vAlign w:val="top"/>
          </w:tcPr>
          <w:p w14:paraId="7D85F2E5">
            <w:pPr>
              <w:jc w:val="center"/>
              <w:rPr>
                <w:rFonts w:hint="eastAsia" w:ascii="Times New Roman" w:eastAsia="宋体"/>
                <w:sz w:val="28"/>
                <w:szCs w:val="28"/>
              </w:rPr>
            </w:pP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生效日期</w:t>
            </w:r>
          </w:p>
        </w:tc>
        <w:tc>
          <w:tcPr>
            <w:tcW w:w="2910" w:type="dxa"/>
            <w:gridSpan w:val="2"/>
            <w:vAlign w:val="top"/>
          </w:tcPr>
          <w:p w14:paraId="13DD143B">
            <w:pPr>
              <w:jc w:val="center"/>
              <w:rPr>
                <w:rFonts w:hint="default" w:asci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  <w:t>2025.9.1</w:t>
            </w:r>
          </w:p>
        </w:tc>
      </w:tr>
      <w:tr w14:paraId="5C415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405" w:type="dxa"/>
          </w:tcPr>
          <w:p w14:paraId="306AE2EB"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eastAsia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内</w:t>
            </w: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容</w:t>
            </w:r>
          </w:p>
          <w:p w14:paraId="78A201BB">
            <w:pPr>
              <w:rPr>
                <w:rFonts w:ascii="Times New Roman" w:hAnsi="Times New Roman" w:eastAsia="宋体"/>
              </w:rPr>
            </w:pPr>
          </w:p>
          <w:p w14:paraId="069ABC99">
            <w:pPr>
              <w:rPr>
                <w:rFonts w:ascii="Times New Roman" w:hAnsi="Times New Roman" w:eastAsia="宋体"/>
              </w:rPr>
            </w:pPr>
          </w:p>
          <w:p w14:paraId="73ACF69F">
            <w:pPr>
              <w:rPr>
                <w:rFonts w:ascii="Times New Roman" w:hAnsi="Times New Roman" w:eastAsia="宋体"/>
              </w:rPr>
            </w:pPr>
          </w:p>
          <w:p w14:paraId="5247DD64">
            <w:pPr>
              <w:rPr>
                <w:rFonts w:ascii="Times New Roman" w:hAnsi="Times New Roman" w:eastAsia="宋体"/>
              </w:rPr>
            </w:pPr>
          </w:p>
          <w:p w14:paraId="6F2922BB">
            <w:pPr>
              <w:rPr>
                <w:rFonts w:ascii="Times New Roman" w:hAnsi="Times New Roman" w:eastAsia="宋体"/>
              </w:rPr>
            </w:pPr>
          </w:p>
          <w:p w14:paraId="0DBAA83D">
            <w:pPr>
              <w:rPr>
                <w:rFonts w:ascii="Times New Roman" w:hAnsi="Times New Roman" w:eastAsia="宋体"/>
              </w:rPr>
            </w:pPr>
          </w:p>
          <w:p w14:paraId="4034C9A2">
            <w:pPr>
              <w:rPr>
                <w:rFonts w:ascii="Times New Roman" w:hAnsi="Times New Roman" w:eastAsia="宋体"/>
              </w:rPr>
            </w:pPr>
          </w:p>
          <w:p w14:paraId="04F8FBDD">
            <w:pPr>
              <w:rPr>
                <w:rFonts w:ascii="Times New Roman" w:hAnsi="Times New Roman" w:eastAsia="宋体"/>
              </w:rPr>
            </w:pPr>
          </w:p>
          <w:p w14:paraId="3AC477FF">
            <w:pPr>
              <w:rPr>
                <w:rFonts w:ascii="Times New Roman" w:hAnsi="Times New Roman" w:eastAsia="宋体"/>
              </w:rPr>
            </w:pPr>
          </w:p>
          <w:p w14:paraId="6C0BC66D">
            <w:pPr>
              <w:rPr>
                <w:rFonts w:ascii="Times New Roman" w:hAnsi="Times New Roman" w:eastAsia="宋体"/>
              </w:rPr>
            </w:pPr>
          </w:p>
          <w:p w14:paraId="24FB7D22">
            <w:pPr>
              <w:rPr>
                <w:rFonts w:ascii="Times New Roman" w:hAnsi="Times New Roman" w:eastAsia="宋体"/>
              </w:rPr>
            </w:pPr>
          </w:p>
          <w:p w14:paraId="515B55D7">
            <w:pPr>
              <w:rPr>
                <w:rFonts w:ascii="Times New Roman" w:hAnsi="Times New Roman" w:eastAsia="宋体"/>
              </w:rPr>
            </w:pPr>
          </w:p>
          <w:p w14:paraId="1C7FFE4B">
            <w:pPr>
              <w:rPr>
                <w:rFonts w:ascii="Times New Roman" w:hAnsi="Times New Roman" w:eastAsia="宋体"/>
              </w:rPr>
            </w:pPr>
          </w:p>
          <w:p w14:paraId="4BCCEC34">
            <w:pPr>
              <w:rPr>
                <w:rFonts w:ascii="Times New Roman" w:hAnsi="Times New Roman" w:eastAsia="宋体"/>
              </w:rPr>
            </w:pPr>
          </w:p>
          <w:p w14:paraId="35F8CDC3">
            <w:pPr>
              <w:rPr>
                <w:rFonts w:ascii="Times New Roman" w:hAnsi="Times New Roman" w:eastAsia="宋体"/>
              </w:rPr>
            </w:pPr>
          </w:p>
          <w:p w14:paraId="25917EEE">
            <w:pPr>
              <w:rPr>
                <w:rFonts w:ascii="Times New Roman" w:hAnsi="Times New Roman" w:eastAsia="宋体"/>
              </w:rPr>
            </w:pPr>
          </w:p>
          <w:p w14:paraId="25232A37">
            <w:pPr>
              <w:rPr>
                <w:rFonts w:ascii="Times New Roman" w:hAnsi="Times New Roman" w:eastAsia="宋体"/>
              </w:rPr>
            </w:pPr>
          </w:p>
          <w:p w14:paraId="28787DEB">
            <w:pPr>
              <w:rPr>
                <w:rFonts w:ascii="Times New Roman" w:hAnsi="Times New Roman" w:eastAsia="宋体"/>
              </w:rPr>
            </w:pPr>
          </w:p>
          <w:p w14:paraId="524E82B1">
            <w:pPr>
              <w:rPr>
                <w:rFonts w:ascii="Times New Roman" w:hAnsi="Times New Roman" w:eastAsia="宋体"/>
              </w:rPr>
            </w:pPr>
          </w:p>
          <w:p w14:paraId="4B2D28DD">
            <w:pPr>
              <w:rPr>
                <w:rFonts w:ascii="Times New Roman" w:hAnsi="Times New Roman" w:eastAsia="宋体"/>
              </w:rPr>
            </w:pPr>
          </w:p>
          <w:p w14:paraId="154FD2E0"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7320" w:type="dxa"/>
            <w:gridSpan w:val="5"/>
          </w:tcPr>
          <w:p w14:paraId="141C1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（一）目的</w:t>
            </w:r>
          </w:p>
          <w:p w14:paraId="2281F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为使医学伦理委员会年度／定期跟踪审查的受理、处理、审查、传达决定、文件存档的工作有章可循，特制定本规程，以从程序上保证年度／定期跟踪审查工作的质量。</w:t>
            </w:r>
          </w:p>
          <w:p w14:paraId="173EE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（二）范围</w:t>
            </w:r>
          </w:p>
          <w:p w14:paraId="46F72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、申请人应按照伦理审查</w:t>
            </w:r>
            <w:r>
              <w:rPr>
                <w:rFonts w:hint="eastAsia"/>
                <w:sz w:val="28"/>
                <w:szCs w:val="28"/>
                <w:lang w:eastAsia="zh-CN"/>
              </w:rPr>
              <w:t>通知函</w:t>
            </w:r>
            <w:r>
              <w:rPr>
                <w:rFonts w:hint="eastAsia"/>
                <w:sz w:val="28"/>
                <w:szCs w:val="28"/>
              </w:rPr>
              <w:t>／意见规定的年度／定期跟踪审查频率，在截止时间前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个月提交“研究进展报告”；申办者应当向组长单位医学伦理委员会提交各中心“研究进展的汇总报告”；当出现任何可能显著影响</w:t>
            </w:r>
            <w:r>
              <w:rPr>
                <w:rFonts w:hint="eastAsia"/>
                <w:sz w:val="28"/>
                <w:szCs w:val="28"/>
                <w:lang w:eastAsia="zh-CN"/>
              </w:rPr>
              <w:t>研究</w:t>
            </w:r>
            <w:r>
              <w:rPr>
                <w:rFonts w:hint="eastAsia"/>
                <w:sz w:val="28"/>
                <w:szCs w:val="28"/>
              </w:rPr>
              <w:t>进行，或增加受试者危险的情况时，应以“研究进展报告”的方式及时报告医学伦理委员会。如果伦理审查</w:t>
            </w:r>
            <w:r>
              <w:rPr>
                <w:rFonts w:hint="eastAsia"/>
                <w:sz w:val="28"/>
                <w:szCs w:val="28"/>
                <w:lang w:eastAsia="zh-CN"/>
              </w:rPr>
              <w:t>通知函</w:t>
            </w:r>
            <w:r>
              <w:rPr>
                <w:rFonts w:hint="eastAsia"/>
                <w:sz w:val="28"/>
                <w:szCs w:val="28"/>
              </w:rPr>
              <w:t>有效期到期，需要申请延长</w:t>
            </w:r>
            <w:r>
              <w:rPr>
                <w:rFonts w:hint="eastAsia"/>
                <w:sz w:val="28"/>
                <w:szCs w:val="28"/>
                <w:lang w:eastAsia="zh-CN"/>
              </w:rPr>
              <w:t>通知函</w:t>
            </w:r>
            <w:r>
              <w:rPr>
                <w:rFonts w:hint="eastAsia"/>
                <w:sz w:val="28"/>
                <w:szCs w:val="28"/>
              </w:rPr>
              <w:t>有效期，应通过“研究进展报告”申请。</w:t>
            </w:r>
          </w:p>
          <w:p w14:paraId="74F56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、本</w:t>
            </w:r>
            <w:r>
              <w:rPr>
                <w:sz w:val="28"/>
                <w:szCs w:val="28"/>
              </w:rPr>
              <w:t>SOP</w:t>
            </w:r>
            <w:r>
              <w:rPr>
                <w:rFonts w:hint="eastAsia"/>
                <w:sz w:val="28"/>
                <w:szCs w:val="28"/>
              </w:rPr>
              <w:t>适用于医学伦理委员会对“研究进展报告”所进行的年度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定期跟踪审查。</w:t>
            </w:r>
          </w:p>
          <w:p w14:paraId="49C15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规程</w:t>
            </w:r>
          </w:p>
          <w:p w14:paraId="5318F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、受理：形式审查</w:t>
            </w:r>
          </w:p>
          <w:p w14:paraId="7872C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）送审文件的完整性</w:t>
            </w:r>
          </w:p>
          <w:p w14:paraId="11B6F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年度／定期跟踪审查的送审文件包括：递交信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研究进展报告（多中心临床研究，本院为组长单位，研究进展报告应报告各中心的研究进展</w:t>
            </w:r>
            <w:r>
              <w:rPr>
                <w:rFonts w:hint="eastAsia"/>
                <w:sz w:val="28"/>
                <w:szCs w:val="28"/>
                <w:lang w:eastAsia="zh-CN"/>
              </w:rPr>
              <w:t>汇总</w:t>
            </w:r>
            <w:r>
              <w:rPr>
                <w:rFonts w:hint="eastAsia"/>
                <w:sz w:val="28"/>
                <w:szCs w:val="28"/>
              </w:rPr>
              <w:t>），组长单位伦理委员会的年度/定期跟踪审查的决定文件，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年度/定期跟踪审查送审文件清单，</w:t>
            </w:r>
            <w:r>
              <w:rPr>
                <w:rFonts w:hint="eastAsia"/>
                <w:sz w:val="28"/>
                <w:szCs w:val="28"/>
              </w:rPr>
              <w:t>其</w:t>
            </w:r>
            <w:r>
              <w:rPr>
                <w:rFonts w:hint="eastAsia"/>
                <w:sz w:val="28"/>
                <w:szCs w:val="28"/>
                <w:lang w:eastAsia="zh-CN"/>
              </w:rPr>
              <w:t>他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14:paraId="07B56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）送审文件的要素</w:t>
            </w:r>
          </w:p>
          <w:p w14:paraId="14036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研究进展报告填写正确、完整，申请人签名并注明时间。</w:t>
            </w:r>
          </w:p>
          <w:p w14:paraId="0C51A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、处理</w:t>
            </w:r>
          </w:p>
          <w:p w14:paraId="3F2BE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）决定审查方式</w:t>
            </w:r>
          </w:p>
          <w:p w14:paraId="42D4E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）一般采用快速审查</w:t>
            </w:r>
          </w:p>
          <w:p w14:paraId="27A2B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）转为会议审查：快审主审意见有“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终止或者暂停已同意的研究</w:t>
            </w:r>
            <w:r>
              <w:rPr>
                <w:rFonts w:hint="eastAsia"/>
                <w:sz w:val="28"/>
                <w:szCs w:val="28"/>
              </w:rPr>
              <w:t>”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</w:rPr>
              <w:t>“提交会议审查”，或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名主审委员的审查意见不一致则转为会议审查的方式。</w:t>
            </w:r>
          </w:p>
          <w:p w14:paraId="6808D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）审查的准备</w:t>
            </w:r>
          </w:p>
          <w:p w14:paraId="376E7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主审的准备：①主审委员的选择：每个项目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主任委员指定2</w:t>
            </w:r>
            <w:r>
              <w:rPr>
                <w:rFonts w:hint="eastAsia"/>
                <w:sz w:val="28"/>
                <w:szCs w:val="28"/>
              </w:rPr>
              <w:t>名主审委员；会议审查优先选择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初审</w:t>
            </w:r>
            <w:r>
              <w:rPr>
                <w:rFonts w:hint="eastAsia"/>
                <w:sz w:val="28"/>
                <w:szCs w:val="28"/>
              </w:rPr>
              <w:t>主审委员，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若初审</w:t>
            </w:r>
            <w:r>
              <w:rPr>
                <w:rFonts w:hint="eastAsia"/>
                <w:sz w:val="28"/>
                <w:szCs w:val="28"/>
              </w:rPr>
              <w:t>主审委员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无法审查，则按照《初始审查的标准操作规程》</w:t>
            </w:r>
            <w:r>
              <w:rPr>
                <w:rFonts w:hint="eastAsia"/>
                <w:sz w:val="28"/>
                <w:szCs w:val="28"/>
              </w:rPr>
              <w:t>主审委员的选择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指定主审委员</w:t>
            </w:r>
            <w:r>
              <w:rPr>
                <w:rFonts w:hint="eastAsia"/>
                <w:sz w:val="28"/>
                <w:szCs w:val="28"/>
              </w:rPr>
              <w:t>；②准备审查文件：为主审委员准备主审项目的整套送审文件</w:t>
            </w:r>
            <w:r>
              <w:rPr>
                <w:rFonts w:hint="eastAsia"/>
                <w:sz w:val="28"/>
                <w:szCs w:val="28"/>
                <w:lang w:eastAsia="zh-CN"/>
              </w:rPr>
              <w:t>以及</w:t>
            </w:r>
            <w:r>
              <w:rPr>
                <w:rFonts w:hint="eastAsia"/>
                <w:sz w:val="28"/>
                <w:szCs w:val="28"/>
              </w:rPr>
              <w:t>“</w:t>
            </w:r>
            <w:r>
              <w:rPr>
                <w:rFonts w:hint="eastAsia"/>
                <w:sz w:val="28"/>
                <w:szCs w:val="28"/>
                <w:lang w:eastAsia="zh-CN"/>
              </w:rPr>
              <w:t>审查工作表</w:t>
            </w:r>
            <w:r>
              <w:rPr>
                <w:rFonts w:hint="eastAsia"/>
                <w:sz w:val="28"/>
                <w:szCs w:val="28"/>
              </w:rPr>
              <w:t>”；必要时，提供查阅当前使用版本的方案和知情同意书的便利条件。</w:t>
            </w:r>
          </w:p>
          <w:p w14:paraId="6A585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  <w:r>
              <w:rPr>
                <w:rFonts w:hint="eastAsia"/>
                <w:color w:val="auto"/>
                <w:sz w:val="28"/>
                <w:szCs w:val="28"/>
              </w:rPr>
              <w:t>、审查</w:t>
            </w:r>
          </w:p>
          <w:p w14:paraId="5C9AC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）审查程序</w:t>
            </w:r>
          </w:p>
          <w:p w14:paraId="54D8E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1）</w:t>
            </w:r>
            <w:r>
              <w:rPr>
                <w:rFonts w:hint="eastAsia"/>
                <w:sz w:val="28"/>
                <w:szCs w:val="28"/>
              </w:rPr>
              <w:t>会议审查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  <w:p w14:paraId="58990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2）</w:t>
            </w:r>
            <w:r>
              <w:rPr>
                <w:rFonts w:hint="eastAsia"/>
                <w:sz w:val="28"/>
                <w:szCs w:val="28"/>
              </w:rPr>
              <w:t>快速审查。</w:t>
            </w:r>
          </w:p>
          <w:p w14:paraId="35DCC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）审查要素</w:t>
            </w:r>
          </w:p>
          <w:p w14:paraId="59545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1）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增加受试者风险的非预期问题的累计风险是否可以接受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  <w:p w14:paraId="420EF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2）显著影响临床研究实施的非预期问题的累计风险是否可以接受。</w:t>
            </w:r>
          </w:p>
          <w:p w14:paraId="1EE8D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3）研究是否继续满足伦理审查同意研究的标准。</w:t>
            </w:r>
          </w:p>
          <w:p w14:paraId="41C36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）审查决定</w:t>
            </w:r>
          </w:p>
          <w:p w14:paraId="68A23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Times New Roman" w:hAnsi="Times New Roman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）是否</w:t>
            </w:r>
            <w:r>
              <w:rPr>
                <w:rFonts w:hint="eastAsia"/>
                <w:sz w:val="28"/>
                <w:szCs w:val="28"/>
                <w:lang w:eastAsia="zh-CN"/>
              </w:rPr>
              <w:t>同意</w:t>
            </w:r>
            <w:r>
              <w:rPr>
                <w:rFonts w:hint="eastAsia"/>
                <w:sz w:val="28"/>
                <w:szCs w:val="28"/>
              </w:rPr>
              <w:t>研究项目：①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eastAsia="zh-CN"/>
              </w:rPr>
              <w:t>同意（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val="en-US" w:eastAsia="zh-CN"/>
              </w:rPr>
              <w:t>同意研究继续进行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sz w:val="28"/>
                <w:szCs w:val="28"/>
              </w:rPr>
              <w:t>；②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eastAsia="zh-CN"/>
              </w:rPr>
              <w:t>必要的修改后同意</w:t>
            </w:r>
            <w:r>
              <w:rPr>
                <w:rFonts w:hint="eastAsia"/>
                <w:sz w:val="28"/>
                <w:szCs w:val="28"/>
              </w:rPr>
              <w:t>；</w:t>
            </w:r>
            <w:r>
              <w:rPr>
                <w:rFonts w:hint="eastAsia" w:ascii="Times New Roman" w:hAnsi="Times New Roman" w:cs="宋体" w:eastAsiaTheme="minorEastAsia"/>
                <w:kern w:val="0"/>
                <w:sz w:val="28"/>
                <w:szCs w:val="28"/>
                <w:lang w:eastAsia="zh-CN"/>
              </w:rPr>
              <w:t>③必要的修改后重审（如适用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val="en-US" w:eastAsia="zh-CN"/>
              </w:rPr>
              <w:t>；</w:t>
            </w:r>
          </w:p>
          <w:p w14:paraId="1C9AC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④终止或者暂停已同意的研究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  <w:p w14:paraId="5F1A5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）跟踪审查频率：根据研究风险有无变化等情况，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主审委员</w:t>
            </w:r>
            <w:r>
              <w:rPr>
                <w:rFonts w:hint="eastAsia"/>
                <w:sz w:val="28"/>
                <w:szCs w:val="28"/>
              </w:rPr>
              <w:t>决定是否调整跟踪审查的频率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最长不超过12个月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14:paraId="187AA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）（快速审查）是否更改审查方式：提交会议审查。</w:t>
            </w:r>
          </w:p>
          <w:p w14:paraId="4144C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、传达决定</w:t>
            </w:r>
          </w:p>
          <w:p w14:paraId="6C33F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）传达形式：所有决定均以“伦理审查意见”的形式传达。</w:t>
            </w:r>
          </w:p>
          <w:p w14:paraId="07F14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）传达时限：在审查决定后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5个工作日</w:t>
            </w:r>
            <w:r>
              <w:rPr>
                <w:rFonts w:hint="eastAsia"/>
                <w:sz w:val="28"/>
                <w:szCs w:val="28"/>
              </w:rPr>
              <w:t>内完成决定的传达。</w:t>
            </w:r>
          </w:p>
          <w:p w14:paraId="545CE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、文件存档</w:t>
            </w:r>
          </w:p>
          <w:p w14:paraId="4CA554B0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）审查过程中形成、积累、保存的文件，按审查阶段及时存档或归档、建立／更新项目档案目录。</w:t>
            </w:r>
          </w:p>
          <w:p w14:paraId="0DBDEFA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）会议审查的项目存档文件：项目送审文件，“</w:t>
            </w:r>
            <w:r>
              <w:rPr>
                <w:rFonts w:hint="eastAsia"/>
                <w:sz w:val="28"/>
                <w:szCs w:val="28"/>
                <w:lang w:eastAsia="zh-CN"/>
              </w:rPr>
              <w:t>审查工作表</w:t>
            </w:r>
            <w:r>
              <w:rPr>
                <w:rFonts w:hint="eastAsia"/>
                <w:sz w:val="28"/>
                <w:szCs w:val="28"/>
              </w:rPr>
              <w:t>”，会议签到表，会议</w:t>
            </w:r>
            <w:r>
              <w:rPr>
                <w:rFonts w:hint="eastAsia"/>
                <w:sz w:val="28"/>
                <w:szCs w:val="28"/>
                <w:lang w:eastAsia="zh-CN"/>
              </w:rPr>
              <w:t>审查</w:t>
            </w:r>
            <w:r>
              <w:rPr>
                <w:rFonts w:hint="eastAsia"/>
                <w:sz w:val="28"/>
                <w:szCs w:val="28"/>
              </w:rPr>
              <w:t>决定表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投票单，会议记录，伦理审查决定文件。</w:t>
            </w:r>
          </w:p>
          <w:p w14:paraId="4401799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）快速审查的项目存档文件：项目送审文件，“</w:t>
            </w:r>
            <w:r>
              <w:rPr>
                <w:rFonts w:hint="eastAsia"/>
                <w:sz w:val="28"/>
                <w:szCs w:val="28"/>
                <w:lang w:eastAsia="zh-CN"/>
              </w:rPr>
              <w:t>审查工作表</w:t>
            </w:r>
            <w:r>
              <w:rPr>
                <w:rFonts w:hint="eastAsia"/>
                <w:sz w:val="28"/>
                <w:szCs w:val="28"/>
              </w:rPr>
              <w:t>”，快审主审综合意见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伦理审查决定文件。</w:t>
            </w:r>
          </w:p>
          <w:p w14:paraId="6219C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  <w:lang w:eastAsia="zh-CN"/>
              </w:rPr>
              <w:t>附件</w:t>
            </w:r>
          </w:p>
          <w:p w14:paraId="3FEA1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/>
                <w:sz w:val="28"/>
                <w:szCs w:val="28"/>
              </w:rPr>
              <w:t>年度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/>
                <w:sz w:val="28"/>
                <w:szCs w:val="28"/>
              </w:rPr>
              <w:t>定期跟踪审查工作表</w:t>
            </w:r>
          </w:p>
          <w:p w14:paraId="11360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2、研究进展报告</w:t>
            </w:r>
          </w:p>
          <w:p w14:paraId="72F3D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3、轻微违背方案列表</w:t>
            </w:r>
          </w:p>
          <w:p w14:paraId="7292C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4、药物临床研究本院SAE报告列表</w:t>
            </w:r>
          </w:p>
          <w:p w14:paraId="0B5D3F95">
            <w:pPr>
              <w:ind w:firstLine="560" w:firstLineChars="200"/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5、年度/定期跟踪审查送审文件清单</w:t>
            </w:r>
          </w:p>
        </w:tc>
      </w:tr>
    </w:tbl>
    <w:p w14:paraId="490305E1">
      <w:pPr>
        <w:jc w:val="center"/>
        <w:rPr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770EE">
    <w:pPr>
      <w:pStyle w:val="3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A7555FF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5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8A68C">
    <w:pPr>
      <w:pStyle w:val="4"/>
      <w:jc w:val="center"/>
      <w:rPr>
        <w:b/>
        <w:bCs/>
        <w:sz w:val="21"/>
        <w:szCs w:val="21"/>
      </w:rPr>
    </w:pPr>
    <w:r>
      <w:rPr>
        <w:rFonts w:hint="eastAsia"/>
        <w:b/>
        <w:bCs/>
        <w:sz w:val="21"/>
        <w:szCs w:val="21"/>
      </w:rPr>
      <w:t>延安大学咸阳医院</w:t>
    </w:r>
    <w:r>
      <w:rPr>
        <w:rFonts w:hint="eastAsia"/>
        <w:b/>
        <w:bCs/>
        <w:sz w:val="21"/>
        <w:szCs w:val="21"/>
        <w:lang w:eastAsia="zh-CN"/>
      </w:rPr>
      <w:t>医学伦理委员会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A3MDc0YmQwMWRhZjI3Y2U3YTlhZjU4Nzk1ZWFlMDEifQ=="/>
  </w:docVars>
  <w:rsids>
    <w:rsidRoot w:val="00AA208C"/>
    <w:rsid w:val="00457522"/>
    <w:rsid w:val="005913B5"/>
    <w:rsid w:val="005D7D24"/>
    <w:rsid w:val="00674179"/>
    <w:rsid w:val="008C186F"/>
    <w:rsid w:val="00AA208C"/>
    <w:rsid w:val="00BB1D3B"/>
    <w:rsid w:val="00DB6B4C"/>
    <w:rsid w:val="00DD1695"/>
    <w:rsid w:val="055C6A62"/>
    <w:rsid w:val="05C82648"/>
    <w:rsid w:val="061D1AB0"/>
    <w:rsid w:val="06A81829"/>
    <w:rsid w:val="0B6941B3"/>
    <w:rsid w:val="0C7804EA"/>
    <w:rsid w:val="0D687E03"/>
    <w:rsid w:val="0DD47DF6"/>
    <w:rsid w:val="0F51260D"/>
    <w:rsid w:val="0FD34601"/>
    <w:rsid w:val="103A753A"/>
    <w:rsid w:val="11424DA6"/>
    <w:rsid w:val="119D0D26"/>
    <w:rsid w:val="12C36287"/>
    <w:rsid w:val="13474D18"/>
    <w:rsid w:val="14BD61CB"/>
    <w:rsid w:val="14BF4551"/>
    <w:rsid w:val="164E3090"/>
    <w:rsid w:val="166A4785"/>
    <w:rsid w:val="193064F3"/>
    <w:rsid w:val="19E659C7"/>
    <w:rsid w:val="1C477125"/>
    <w:rsid w:val="1ED8148B"/>
    <w:rsid w:val="1FC559D7"/>
    <w:rsid w:val="21DD4356"/>
    <w:rsid w:val="23F44867"/>
    <w:rsid w:val="268E2CAE"/>
    <w:rsid w:val="26933CB2"/>
    <w:rsid w:val="26EA179E"/>
    <w:rsid w:val="27D269D7"/>
    <w:rsid w:val="28F9552D"/>
    <w:rsid w:val="2928599B"/>
    <w:rsid w:val="2C5F0370"/>
    <w:rsid w:val="2C6C2AA6"/>
    <w:rsid w:val="2CC61D4B"/>
    <w:rsid w:val="2D911F7E"/>
    <w:rsid w:val="2E4D27DA"/>
    <w:rsid w:val="307B21F1"/>
    <w:rsid w:val="328B1496"/>
    <w:rsid w:val="32C04F7D"/>
    <w:rsid w:val="33F370DD"/>
    <w:rsid w:val="35535834"/>
    <w:rsid w:val="35A818A1"/>
    <w:rsid w:val="3B6908E2"/>
    <w:rsid w:val="3BCF7545"/>
    <w:rsid w:val="3C3C2A9B"/>
    <w:rsid w:val="3E340269"/>
    <w:rsid w:val="3F9E4DD9"/>
    <w:rsid w:val="3FF63C05"/>
    <w:rsid w:val="42A0489B"/>
    <w:rsid w:val="45372BC7"/>
    <w:rsid w:val="45C738E1"/>
    <w:rsid w:val="45EC3DD8"/>
    <w:rsid w:val="480C3982"/>
    <w:rsid w:val="4A771D9E"/>
    <w:rsid w:val="4A8A2942"/>
    <w:rsid w:val="4AE368E5"/>
    <w:rsid w:val="4BA566D3"/>
    <w:rsid w:val="4CD363D7"/>
    <w:rsid w:val="4E77724D"/>
    <w:rsid w:val="53C0752F"/>
    <w:rsid w:val="54163B67"/>
    <w:rsid w:val="5492791F"/>
    <w:rsid w:val="567E36FF"/>
    <w:rsid w:val="58B23C1A"/>
    <w:rsid w:val="59250986"/>
    <w:rsid w:val="5931743E"/>
    <w:rsid w:val="5A254312"/>
    <w:rsid w:val="5B0D2810"/>
    <w:rsid w:val="5B1A4D4B"/>
    <w:rsid w:val="5E8424D1"/>
    <w:rsid w:val="5F264BDB"/>
    <w:rsid w:val="612135B8"/>
    <w:rsid w:val="61F70ABE"/>
    <w:rsid w:val="627E1CFD"/>
    <w:rsid w:val="62884524"/>
    <w:rsid w:val="62AF3292"/>
    <w:rsid w:val="6399385E"/>
    <w:rsid w:val="639A3068"/>
    <w:rsid w:val="63B349B2"/>
    <w:rsid w:val="656C7075"/>
    <w:rsid w:val="65C00FAE"/>
    <w:rsid w:val="68ED172F"/>
    <w:rsid w:val="746A51E0"/>
    <w:rsid w:val="74852670"/>
    <w:rsid w:val="76A05065"/>
    <w:rsid w:val="76D565E4"/>
    <w:rsid w:val="79C26368"/>
    <w:rsid w:val="7D1B1583"/>
    <w:rsid w:val="7D68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NormalCharacter"/>
    <w:link w:val="1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1331</Words>
  <Characters>1354</Characters>
  <Lines>16</Lines>
  <Paragraphs>4</Paragraphs>
  <TotalTime>0</TotalTime>
  <ScaleCrop>false</ScaleCrop>
  <LinksUpToDate>false</LinksUpToDate>
  <CharactersWithSpaces>1369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Hao</cp:lastModifiedBy>
  <dcterms:modified xsi:type="dcterms:W3CDTF">2025-08-19T03:19:51Z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F7B264C3891B4191A6BEA23D46B60427_12</vt:lpwstr>
  </property>
  <property fmtid="{D5CDD505-2E9C-101B-9397-08002B2CF9AE}" pid="4" name="KSOTemplateDocerSaveRecord">
    <vt:lpwstr>eyJoZGlkIjoiYzA3MDc0YmQwMWRhZjI3Y2U3YTlhZjU4Nzk1ZWFlMDEiLCJ1c2VySWQiOiIxNTY5NzA5MzM0In0=</vt:lpwstr>
  </property>
</Properties>
</file>